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F9A7FEC" w14:textId="77777777" w:rsidR="00B57377" w:rsidRDefault="00B57377" w:rsidP="00BE2702">
      <w:pPr>
        <w:pBdr>
          <w:top w:val="nil"/>
          <w:left w:val="nil"/>
          <w:bottom w:val="nil"/>
          <w:right w:val="nil"/>
          <w:between w:val="nil"/>
        </w:pBdr>
        <w:spacing w:after="360" w:line="240" w:lineRule="auto"/>
        <w:ind w:right="0" w:firstLine="0"/>
        <w:rPr>
          <w:color w:val="000000"/>
          <w:sz w:val="44"/>
          <w:szCs w:val="44"/>
        </w:rPr>
      </w:pPr>
      <w:r>
        <w:rPr>
          <w:color w:val="000000"/>
          <w:sz w:val="44"/>
          <w:szCs w:val="44"/>
        </w:rPr>
        <w:t>CO</w:t>
      </w:r>
      <w:r>
        <w:rPr>
          <w:color w:val="000000"/>
          <w:sz w:val="44"/>
          <w:szCs w:val="44"/>
          <w:vertAlign w:val="subscript"/>
        </w:rPr>
        <w:t>2</w:t>
      </w:r>
      <w:r>
        <w:rPr>
          <w:color w:val="000000"/>
          <w:sz w:val="44"/>
          <w:szCs w:val="44"/>
        </w:rPr>
        <w:t xml:space="preserve"> ADSORPTION ON CHAR FROM RICH-PROTEIN ANIMAL WASTES AND PURE PROTEINS. A COMPARATIVE STUDY.</w:t>
      </w:r>
    </w:p>
    <w:p w14:paraId="752A71A6" w14:textId="77777777" w:rsidR="00B57377" w:rsidRDefault="00B57377" w:rsidP="00BE2702">
      <w:pPr>
        <w:pBdr>
          <w:top w:val="nil"/>
          <w:left w:val="nil"/>
          <w:bottom w:val="nil"/>
          <w:right w:val="nil"/>
          <w:between w:val="nil"/>
        </w:pBdr>
        <w:spacing w:after="360" w:line="240" w:lineRule="auto"/>
        <w:ind w:right="0" w:firstLine="0"/>
        <w:jc w:val="left"/>
        <w:rPr>
          <w:color w:val="000000"/>
          <w:sz w:val="24"/>
          <w:szCs w:val="24"/>
        </w:rPr>
      </w:pPr>
      <w:r>
        <w:rPr>
          <w:color w:val="000000"/>
          <w:sz w:val="24"/>
          <w:szCs w:val="24"/>
        </w:rPr>
        <w:t xml:space="preserve">Hans Heinrich Carstensen </w:t>
      </w:r>
      <w:r>
        <w:rPr>
          <w:color w:val="000000"/>
          <w:sz w:val="24"/>
          <w:szCs w:val="24"/>
          <w:vertAlign w:val="superscript"/>
        </w:rPr>
        <w:t>1,2</w:t>
      </w:r>
      <w:r>
        <w:rPr>
          <w:color w:val="000000"/>
          <w:sz w:val="24"/>
          <w:szCs w:val="24"/>
        </w:rPr>
        <w:t xml:space="preserve">, Joaquín Ruiz </w:t>
      </w:r>
      <w:r>
        <w:rPr>
          <w:color w:val="000000"/>
          <w:sz w:val="24"/>
          <w:szCs w:val="24"/>
          <w:vertAlign w:val="superscript"/>
        </w:rPr>
        <w:t>3</w:t>
      </w:r>
      <w:r>
        <w:rPr>
          <w:color w:val="000000"/>
          <w:sz w:val="24"/>
          <w:szCs w:val="24"/>
        </w:rPr>
        <w:t xml:space="preserve">, Isabel Fonts </w:t>
      </w:r>
      <w:r>
        <w:rPr>
          <w:color w:val="000000"/>
          <w:sz w:val="24"/>
          <w:szCs w:val="24"/>
          <w:vertAlign w:val="superscript"/>
        </w:rPr>
        <w:t>4</w:t>
      </w:r>
      <w:r>
        <w:rPr>
          <w:color w:val="000000"/>
          <w:sz w:val="24"/>
          <w:szCs w:val="24"/>
        </w:rPr>
        <w:t xml:space="preserve">, Noemí Gil-Lalaguna </w:t>
      </w:r>
      <w:r>
        <w:rPr>
          <w:color w:val="000000"/>
          <w:sz w:val="24"/>
          <w:szCs w:val="24"/>
          <w:vertAlign w:val="superscript"/>
        </w:rPr>
        <w:t>3</w:t>
      </w:r>
      <w:r>
        <w:rPr>
          <w:color w:val="000000"/>
          <w:sz w:val="24"/>
          <w:szCs w:val="24"/>
        </w:rPr>
        <w:t xml:space="preserve">, Jesús Ceamanos </w:t>
      </w:r>
      <w:r>
        <w:rPr>
          <w:color w:val="000000"/>
          <w:sz w:val="24"/>
          <w:szCs w:val="24"/>
          <w:vertAlign w:val="superscript"/>
        </w:rPr>
        <w:t>3</w:t>
      </w:r>
      <w:r>
        <w:rPr>
          <w:color w:val="000000"/>
          <w:sz w:val="24"/>
          <w:szCs w:val="24"/>
        </w:rPr>
        <w:t xml:space="preserve">, María Benita Murillo </w:t>
      </w:r>
      <w:r>
        <w:rPr>
          <w:color w:val="000000"/>
          <w:sz w:val="24"/>
          <w:szCs w:val="24"/>
          <w:vertAlign w:val="superscript"/>
        </w:rPr>
        <w:t>3</w:t>
      </w:r>
      <w:r>
        <w:rPr>
          <w:color w:val="000000"/>
          <w:sz w:val="24"/>
          <w:szCs w:val="24"/>
        </w:rPr>
        <w:t xml:space="preserve"> and Gloria Gea </w:t>
      </w:r>
      <w:r>
        <w:rPr>
          <w:color w:val="000000"/>
          <w:sz w:val="24"/>
          <w:szCs w:val="24"/>
          <w:vertAlign w:val="superscript"/>
        </w:rPr>
        <w:t>3</w:t>
      </w:r>
    </w:p>
    <w:p w14:paraId="7856E33D" w14:textId="77777777" w:rsidR="00B57377" w:rsidRPr="00FF4024" w:rsidRDefault="00B57377" w:rsidP="00BE2702">
      <w:pPr>
        <w:pBdr>
          <w:top w:val="nil"/>
          <w:left w:val="nil"/>
          <w:bottom w:val="nil"/>
          <w:right w:val="nil"/>
          <w:between w:val="nil"/>
        </w:pBdr>
        <w:spacing w:line="240" w:lineRule="auto"/>
        <w:ind w:right="0" w:firstLine="0"/>
        <w:rPr>
          <w:i/>
          <w:color w:val="000000"/>
          <w:sz w:val="20"/>
          <w:lang w:val="es-ES"/>
        </w:rPr>
      </w:pPr>
      <w:r w:rsidRPr="00FF4024">
        <w:rPr>
          <w:i/>
          <w:color w:val="000000"/>
          <w:sz w:val="20"/>
          <w:vertAlign w:val="superscript"/>
          <w:lang w:val="es-ES"/>
        </w:rPr>
        <w:t>1</w:t>
      </w:r>
      <w:r w:rsidRPr="00FF4024">
        <w:rPr>
          <w:i/>
          <w:color w:val="000000"/>
          <w:sz w:val="20"/>
          <w:lang w:val="es-ES"/>
        </w:rPr>
        <w:t xml:space="preserve"> Fundación Agencia Aragonesa para la Investigación y Desarrollo (ARAID), Mariano </w:t>
      </w:r>
      <w:proofErr w:type="spellStart"/>
      <w:r w:rsidRPr="00FF4024">
        <w:rPr>
          <w:i/>
          <w:color w:val="000000"/>
          <w:sz w:val="20"/>
          <w:lang w:val="es-ES"/>
        </w:rPr>
        <w:t>Esquillor</w:t>
      </w:r>
      <w:proofErr w:type="spellEnd"/>
      <w:r w:rsidRPr="00FF4024">
        <w:rPr>
          <w:i/>
          <w:color w:val="000000"/>
          <w:sz w:val="20"/>
          <w:lang w:val="es-ES"/>
        </w:rPr>
        <w:t xml:space="preserve"> St., 50018 Zaragoza, </w:t>
      </w:r>
      <w:proofErr w:type="spellStart"/>
      <w:r w:rsidRPr="00FF4024">
        <w:rPr>
          <w:i/>
          <w:color w:val="000000"/>
          <w:sz w:val="20"/>
          <w:lang w:val="es-ES"/>
        </w:rPr>
        <w:t>Spain</w:t>
      </w:r>
      <w:proofErr w:type="spellEnd"/>
    </w:p>
    <w:p w14:paraId="3858979E" w14:textId="77777777" w:rsidR="00B57377" w:rsidRDefault="00B57377" w:rsidP="00BE2702">
      <w:pPr>
        <w:pBdr>
          <w:top w:val="nil"/>
          <w:left w:val="nil"/>
          <w:bottom w:val="nil"/>
          <w:right w:val="nil"/>
          <w:between w:val="nil"/>
        </w:pBdr>
        <w:spacing w:line="240" w:lineRule="auto"/>
        <w:ind w:right="0" w:firstLine="0"/>
        <w:rPr>
          <w:i/>
          <w:color w:val="000000"/>
          <w:sz w:val="20"/>
        </w:rPr>
      </w:pPr>
      <w:r>
        <w:rPr>
          <w:i/>
          <w:color w:val="000000"/>
          <w:sz w:val="20"/>
          <w:vertAlign w:val="superscript"/>
        </w:rPr>
        <w:t>2</w:t>
      </w:r>
      <w:r>
        <w:rPr>
          <w:i/>
          <w:color w:val="000000"/>
          <w:sz w:val="20"/>
        </w:rPr>
        <w:t xml:space="preserve"> Department of Chemical and Environmental Engineering, Engineering and Architecture School, University of Zaragoza, Spain</w:t>
      </w:r>
    </w:p>
    <w:p w14:paraId="39BD5700" w14:textId="77777777" w:rsidR="00B57377" w:rsidRDefault="00B57377" w:rsidP="00BE2702">
      <w:pPr>
        <w:pBdr>
          <w:top w:val="nil"/>
          <w:left w:val="nil"/>
          <w:bottom w:val="nil"/>
          <w:right w:val="nil"/>
          <w:between w:val="nil"/>
        </w:pBdr>
        <w:spacing w:line="240" w:lineRule="auto"/>
        <w:ind w:right="0" w:firstLine="0"/>
        <w:rPr>
          <w:i/>
          <w:color w:val="000000"/>
          <w:sz w:val="20"/>
        </w:rPr>
      </w:pPr>
      <w:r>
        <w:rPr>
          <w:i/>
          <w:color w:val="000000"/>
          <w:sz w:val="20"/>
          <w:vertAlign w:val="superscript"/>
        </w:rPr>
        <w:t>3</w:t>
      </w:r>
      <w:r>
        <w:rPr>
          <w:i/>
          <w:color w:val="000000"/>
          <w:sz w:val="20"/>
        </w:rPr>
        <w:t xml:space="preserve"> Aragón Institute for Engineering Research (I3A), University of Zaragoza, Mariano Esquillor St., 50018 Zaragoza, Spain</w:t>
      </w:r>
    </w:p>
    <w:p w14:paraId="2FBF633B" w14:textId="77777777" w:rsidR="00B57377" w:rsidRPr="00FF4024" w:rsidRDefault="00B57377" w:rsidP="00BE2702">
      <w:pPr>
        <w:pBdr>
          <w:top w:val="nil"/>
          <w:left w:val="nil"/>
          <w:bottom w:val="nil"/>
          <w:right w:val="nil"/>
          <w:between w:val="nil"/>
        </w:pBdr>
        <w:spacing w:line="240" w:lineRule="auto"/>
        <w:ind w:right="0" w:firstLine="0"/>
        <w:rPr>
          <w:i/>
          <w:color w:val="000000"/>
          <w:sz w:val="20"/>
          <w:lang w:val="es-ES"/>
        </w:rPr>
      </w:pPr>
      <w:r w:rsidRPr="00FF4024">
        <w:rPr>
          <w:i/>
          <w:color w:val="000000"/>
          <w:sz w:val="20"/>
          <w:vertAlign w:val="superscript"/>
          <w:lang w:val="es-ES"/>
        </w:rPr>
        <w:t>4</w:t>
      </w:r>
      <w:r w:rsidRPr="00FF4024">
        <w:rPr>
          <w:i/>
          <w:color w:val="000000"/>
          <w:sz w:val="20"/>
          <w:lang w:val="es-ES"/>
        </w:rPr>
        <w:t xml:space="preserve"> Área de Química y Medio Ambiente, Centro Universitario de la Defensa (CUD) de Zaragoza- Academia General Militar, 50090, Zaragoza, </w:t>
      </w:r>
      <w:proofErr w:type="spellStart"/>
      <w:r w:rsidRPr="00FF4024">
        <w:rPr>
          <w:i/>
          <w:color w:val="000000"/>
          <w:sz w:val="20"/>
          <w:lang w:val="es-ES"/>
        </w:rPr>
        <w:t>Spain</w:t>
      </w:r>
      <w:proofErr w:type="spellEnd"/>
    </w:p>
    <w:p w14:paraId="40CF7247" w14:textId="721CE5B2" w:rsidR="00B57377" w:rsidRDefault="00B57377" w:rsidP="00BE2702">
      <w:pPr>
        <w:pBdr>
          <w:top w:val="nil"/>
          <w:left w:val="nil"/>
          <w:bottom w:val="nil"/>
          <w:right w:val="nil"/>
          <w:between w:val="nil"/>
        </w:pBdr>
        <w:spacing w:before="360" w:line="240" w:lineRule="auto"/>
        <w:ind w:right="0" w:firstLine="0"/>
        <w:rPr>
          <w:color w:val="000000"/>
        </w:rPr>
      </w:pPr>
      <w:r>
        <w:rPr>
          <w:color w:val="000000"/>
        </w:rPr>
        <w:t xml:space="preserve">ABSTRACT: </w:t>
      </w:r>
      <w:r w:rsidRPr="00FF4024">
        <w:rPr>
          <w:color w:val="000000"/>
        </w:rPr>
        <w:t xml:space="preserve">Biogas generation through anaerobic digestion (AD) </w:t>
      </w:r>
      <w:r w:rsidR="004B6A98">
        <w:rPr>
          <w:color w:val="000000"/>
        </w:rPr>
        <w:t>provides</w:t>
      </w:r>
      <w:r w:rsidRPr="00FF4024">
        <w:rPr>
          <w:color w:val="000000"/>
        </w:rPr>
        <w:t xml:space="preserve"> an interesting opportunity</w:t>
      </w:r>
      <w:r w:rsidR="004B6A98">
        <w:rPr>
          <w:color w:val="000000"/>
        </w:rPr>
        <w:t xml:space="preserve"> to valorize animal waste materials through energy production</w:t>
      </w:r>
      <w:r w:rsidRPr="00FF4024">
        <w:rPr>
          <w:color w:val="000000"/>
        </w:rPr>
        <w:t>. However, some residues generated in intensive livestock areas, such as meat and bone meal (MBM)</w:t>
      </w:r>
      <w:r w:rsidR="004B6A98">
        <w:rPr>
          <w:color w:val="000000"/>
        </w:rPr>
        <w:t>,</w:t>
      </w:r>
      <w:r w:rsidRPr="00FF4024">
        <w:rPr>
          <w:color w:val="000000"/>
        </w:rPr>
        <w:t xml:space="preserve"> cannot be </w:t>
      </w:r>
      <w:r w:rsidR="004B6A98">
        <w:rPr>
          <w:color w:val="000000"/>
        </w:rPr>
        <w:t>anaerobically digested</w:t>
      </w:r>
      <w:r w:rsidR="00D55FB4">
        <w:rPr>
          <w:color w:val="000000"/>
        </w:rPr>
        <w:t>. A</w:t>
      </w:r>
      <w:r w:rsidRPr="00FF4024">
        <w:rPr>
          <w:color w:val="000000"/>
        </w:rPr>
        <w:t xml:space="preserve"> </w:t>
      </w:r>
      <w:r w:rsidR="00BE2702">
        <w:rPr>
          <w:color w:val="000000"/>
        </w:rPr>
        <w:t xml:space="preserve">more </w:t>
      </w:r>
      <w:r w:rsidRPr="00FF4024">
        <w:rPr>
          <w:color w:val="000000"/>
        </w:rPr>
        <w:t xml:space="preserve">flexible </w:t>
      </w:r>
      <w:r w:rsidR="00223D21">
        <w:rPr>
          <w:color w:val="000000"/>
        </w:rPr>
        <w:t xml:space="preserve">integrated </w:t>
      </w:r>
      <w:r w:rsidRPr="00FF4024">
        <w:rPr>
          <w:color w:val="000000"/>
        </w:rPr>
        <w:t xml:space="preserve">process </w:t>
      </w:r>
      <w:r w:rsidR="00D55FB4">
        <w:rPr>
          <w:color w:val="000000"/>
        </w:rPr>
        <w:t xml:space="preserve">is needed to valorize </w:t>
      </w:r>
      <w:r w:rsidRPr="00FF4024">
        <w:rPr>
          <w:color w:val="000000"/>
        </w:rPr>
        <w:t xml:space="preserve">a wider range of residues. </w:t>
      </w:r>
      <w:r w:rsidR="00BE2702">
        <w:rPr>
          <w:color w:val="000000"/>
        </w:rPr>
        <w:t>O</w:t>
      </w:r>
      <w:r w:rsidRPr="00FF4024">
        <w:rPr>
          <w:color w:val="000000"/>
        </w:rPr>
        <w:t>ther issues</w:t>
      </w:r>
      <w:r w:rsidR="00BE2702">
        <w:rPr>
          <w:color w:val="000000"/>
        </w:rPr>
        <w:t xml:space="preserve"> to be </w:t>
      </w:r>
      <w:r w:rsidR="00D55FB4">
        <w:rPr>
          <w:color w:val="000000"/>
        </w:rPr>
        <w:t>addressed</w:t>
      </w:r>
      <w:r w:rsidR="00BE2702">
        <w:rPr>
          <w:color w:val="000000"/>
        </w:rPr>
        <w:t xml:space="preserve"> in AD are gas upgrading requirements, </w:t>
      </w:r>
      <w:r w:rsidR="00223D21">
        <w:rPr>
          <w:color w:val="000000"/>
        </w:rPr>
        <w:t xml:space="preserve">the </w:t>
      </w:r>
      <w:r w:rsidR="00BE2702">
        <w:rPr>
          <w:color w:val="000000"/>
        </w:rPr>
        <w:t>increasing costs</w:t>
      </w:r>
      <w:r w:rsidRPr="00FF4024">
        <w:rPr>
          <w:color w:val="000000"/>
        </w:rPr>
        <w:t xml:space="preserve"> and </w:t>
      </w:r>
      <w:r w:rsidR="00BE2702">
        <w:rPr>
          <w:color w:val="000000"/>
        </w:rPr>
        <w:t xml:space="preserve">the </w:t>
      </w:r>
      <w:r w:rsidR="00223D21">
        <w:rPr>
          <w:color w:val="000000"/>
        </w:rPr>
        <w:t xml:space="preserve">adequate </w:t>
      </w:r>
      <w:r w:rsidR="00BE2702">
        <w:rPr>
          <w:color w:val="000000"/>
        </w:rPr>
        <w:t>management of</w:t>
      </w:r>
      <w:r w:rsidRPr="00FF4024">
        <w:rPr>
          <w:color w:val="000000"/>
        </w:rPr>
        <w:t xml:space="preserve"> </w:t>
      </w:r>
      <w:r w:rsidR="00BE2702">
        <w:rPr>
          <w:color w:val="000000"/>
        </w:rPr>
        <w:t xml:space="preserve">the </w:t>
      </w:r>
      <w:r w:rsidRPr="00FF4024">
        <w:rPr>
          <w:color w:val="000000"/>
        </w:rPr>
        <w:t>digestate. The high concentration of CO</w:t>
      </w:r>
      <w:r w:rsidRPr="00FF4024">
        <w:rPr>
          <w:color w:val="000000"/>
          <w:vertAlign w:val="subscript"/>
        </w:rPr>
        <w:t>2</w:t>
      </w:r>
      <w:r w:rsidRPr="00FF4024">
        <w:rPr>
          <w:color w:val="000000"/>
        </w:rPr>
        <w:t xml:space="preserve"> in biogas results in a low caloric value</w:t>
      </w:r>
      <w:r w:rsidR="00BA7857">
        <w:rPr>
          <w:color w:val="000000"/>
        </w:rPr>
        <w:t>,</w:t>
      </w:r>
      <w:r w:rsidR="00D55FB4">
        <w:rPr>
          <w:color w:val="000000"/>
        </w:rPr>
        <w:t xml:space="preserve"> making it mandatory to reduce the</w:t>
      </w:r>
      <w:r w:rsidRPr="00FF4024">
        <w:rPr>
          <w:color w:val="000000"/>
        </w:rPr>
        <w:t xml:space="preserve"> CO</w:t>
      </w:r>
      <w:r w:rsidRPr="00FF4024">
        <w:rPr>
          <w:color w:val="000000"/>
          <w:vertAlign w:val="subscript"/>
        </w:rPr>
        <w:t>2</w:t>
      </w:r>
      <w:r w:rsidRPr="00FF4024">
        <w:rPr>
          <w:color w:val="000000"/>
        </w:rPr>
        <w:t xml:space="preserve"> </w:t>
      </w:r>
      <w:r w:rsidR="00D55FB4">
        <w:rPr>
          <w:color w:val="000000"/>
        </w:rPr>
        <w:t>levels. T</w:t>
      </w:r>
      <w:r w:rsidRPr="00FF4024">
        <w:rPr>
          <w:color w:val="000000"/>
        </w:rPr>
        <w:t>he obtention of low-cost adsorbent materials</w:t>
      </w:r>
      <w:r w:rsidR="00D55FB4">
        <w:rPr>
          <w:color w:val="000000"/>
        </w:rPr>
        <w:t xml:space="preserve"> for CO</w:t>
      </w:r>
      <w:r w:rsidR="00D55FB4" w:rsidRPr="00D55FB4">
        <w:rPr>
          <w:color w:val="000000"/>
          <w:vertAlign w:val="subscript"/>
        </w:rPr>
        <w:t>2</w:t>
      </w:r>
      <w:r w:rsidR="00D55FB4">
        <w:rPr>
          <w:color w:val="000000"/>
        </w:rPr>
        <w:t xml:space="preserve"> removal</w:t>
      </w:r>
      <w:r w:rsidRPr="00FF4024">
        <w:rPr>
          <w:color w:val="000000"/>
        </w:rPr>
        <w:t>, preferably obtained from waste materials</w:t>
      </w:r>
      <w:r w:rsidR="00D55FB4">
        <w:rPr>
          <w:color w:val="000000"/>
        </w:rPr>
        <w:t xml:space="preserve">, would be beneficial for biogas generation. Char is a potential </w:t>
      </w:r>
      <w:r w:rsidRPr="00FF4024">
        <w:rPr>
          <w:color w:val="000000"/>
        </w:rPr>
        <w:t>low-cost adsorbent material</w:t>
      </w:r>
      <w:r w:rsidR="00D55FB4">
        <w:rPr>
          <w:color w:val="000000"/>
        </w:rPr>
        <w:t>.</w:t>
      </w:r>
      <w:r w:rsidRPr="00FF4024">
        <w:rPr>
          <w:color w:val="000000"/>
        </w:rPr>
        <w:t xml:space="preserve"> </w:t>
      </w:r>
      <w:r w:rsidR="00D55FB4">
        <w:rPr>
          <w:color w:val="000000"/>
        </w:rPr>
        <w:t>Its</w:t>
      </w:r>
      <w:r w:rsidRPr="00FF4024">
        <w:rPr>
          <w:color w:val="000000"/>
        </w:rPr>
        <w:t xml:space="preserve"> composition and quality </w:t>
      </w:r>
      <w:r w:rsidR="00D55FB4">
        <w:rPr>
          <w:color w:val="000000"/>
        </w:rPr>
        <w:t xml:space="preserve">are </w:t>
      </w:r>
      <w:r w:rsidRPr="00FF4024">
        <w:rPr>
          <w:color w:val="000000"/>
        </w:rPr>
        <w:t>strongly depend</w:t>
      </w:r>
      <w:r w:rsidR="00BE2702">
        <w:rPr>
          <w:color w:val="000000"/>
        </w:rPr>
        <w:t>ent</w:t>
      </w:r>
      <w:r w:rsidRPr="00FF4024">
        <w:rPr>
          <w:color w:val="000000"/>
        </w:rPr>
        <w:t xml:space="preserve"> on the precursor and its </w:t>
      </w:r>
      <w:r w:rsidR="00BE2702">
        <w:rPr>
          <w:color w:val="000000"/>
        </w:rPr>
        <w:t>production</w:t>
      </w:r>
      <w:r w:rsidRPr="00FF4024">
        <w:rPr>
          <w:color w:val="000000"/>
        </w:rPr>
        <w:t xml:space="preserve"> conditions. </w:t>
      </w:r>
      <w:r w:rsidR="00BE2702" w:rsidRPr="00FF4024">
        <w:rPr>
          <w:color w:val="000000"/>
        </w:rPr>
        <w:t>Chars from protein</w:t>
      </w:r>
      <w:r w:rsidR="00BE2702">
        <w:rPr>
          <w:color w:val="000000"/>
        </w:rPr>
        <w:t>s</w:t>
      </w:r>
      <w:r w:rsidR="00BE2702" w:rsidRPr="00FF4024">
        <w:rPr>
          <w:color w:val="000000"/>
        </w:rPr>
        <w:t xml:space="preserve"> show very different characteristics </w:t>
      </w:r>
      <w:r w:rsidR="00D55FB4">
        <w:rPr>
          <w:color w:val="000000"/>
        </w:rPr>
        <w:t xml:space="preserve">compared </w:t>
      </w:r>
      <w:r w:rsidR="000E7868">
        <w:rPr>
          <w:color w:val="000000"/>
        </w:rPr>
        <w:t>to</w:t>
      </w:r>
      <w:r w:rsidR="00BE2702" w:rsidRPr="00FF4024">
        <w:rPr>
          <w:color w:val="000000"/>
        </w:rPr>
        <w:t xml:space="preserve"> those obtained from the more commonly studied lignocellulosic residues. </w:t>
      </w:r>
      <w:r w:rsidR="00D55FB4">
        <w:rPr>
          <w:color w:val="000000"/>
        </w:rPr>
        <w:t>More specifically</w:t>
      </w:r>
      <w:r w:rsidR="00BE2702">
        <w:rPr>
          <w:color w:val="000000"/>
        </w:rPr>
        <w:t>, c</w:t>
      </w:r>
      <w:r w:rsidRPr="00FF4024">
        <w:rPr>
          <w:color w:val="000000"/>
        </w:rPr>
        <w:t>har</w:t>
      </w:r>
      <w:r w:rsidR="00D55FB4">
        <w:rPr>
          <w:color w:val="000000"/>
        </w:rPr>
        <w:t>s</w:t>
      </w:r>
      <w:r w:rsidRPr="00FF4024">
        <w:rPr>
          <w:color w:val="000000"/>
        </w:rPr>
        <w:t xml:space="preserve"> obtained from digested manure and MBM (as rich-protein animal wastes) </w:t>
      </w:r>
      <w:r w:rsidR="00D55FB4">
        <w:rPr>
          <w:color w:val="000000"/>
        </w:rPr>
        <w:t>have</w:t>
      </w:r>
      <w:r w:rsidRPr="00FF4024">
        <w:rPr>
          <w:color w:val="000000"/>
        </w:rPr>
        <w:t xml:space="preserve"> a high nitrogen content, </w:t>
      </w:r>
      <w:r w:rsidR="00BE2702">
        <w:rPr>
          <w:color w:val="000000"/>
        </w:rPr>
        <w:t xml:space="preserve">which could </w:t>
      </w:r>
      <w:r w:rsidRPr="00FF4024">
        <w:rPr>
          <w:color w:val="000000"/>
        </w:rPr>
        <w:t>increas</w:t>
      </w:r>
      <w:r w:rsidR="00D55FB4">
        <w:rPr>
          <w:color w:val="000000"/>
        </w:rPr>
        <w:t>e</w:t>
      </w:r>
      <w:r w:rsidRPr="00FF4024">
        <w:rPr>
          <w:color w:val="000000"/>
        </w:rPr>
        <w:t xml:space="preserve"> </w:t>
      </w:r>
      <w:r w:rsidR="00D55FB4">
        <w:rPr>
          <w:color w:val="000000"/>
        </w:rPr>
        <w:t xml:space="preserve">their </w:t>
      </w:r>
      <w:r w:rsidRPr="00FF4024">
        <w:rPr>
          <w:color w:val="000000"/>
        </w:rPr>
        <w:t>CO</w:t>
      </w:r>
      <w:r w:rsidRPr="00FF4024">
        <w:rPr>
          <w:color w:val="000000"/>
          <w:vertAlign w:val="subscript"/>
        </w:rPr>
        <w:t>2</w:t>
      </w:r>
      <w:r w:rsidRPr="00FF4024">
        <w:rPr>
          <w:color w:val="000000"/>
        </w:rPr>
        <w:t xml:space="preserve"> adsorption</w:t>
      </w:r>
      <w:r w:rsidR="000E7868">
        <w:rPr>
          <w:color w:val="000000"/>
        </w:rPr>
        <w:t xml:space="preserve"> </w:t>
      </w:r>
      <w:r w:rsidR="00D55FB4">
        <w:rPr>
          <w:color w:val="000000"/>
        </w:rPr>
        <w:t>capability if</w:t>
      </w:r>
      <w:r w:rsidR="000E7868">
        <w:rPr>
          <w:color w:val="000000"/>
        </w:rPr>
        <w:t xml:space="preserve"> the nitrogen-functional groups</w:t>
      </w:r>
      <w:r w:rsidR="00D55FB4">
        <w:rPr>
          <w:color w:val="000000"/>
        </w:rPr>
        <w:t xml:space="preserve"> contribute</w:t>
      </w:r>
      <w:r w:rsidR="000E7868">
        <w:rPr>
          <w:color w:val="000000"/>
        </w:rPr>
        <w:t xml:space="preserve"> to surface basicity</w:t>
      </w:r>
      <w:r w:rsidRPr="00FF4024">
        <w:rPr>
          <w:color w:val="000000"/>
        </w:rPr>
        <w:t>. In the current study, the CO</w:t>
      </w:r>
      <w:r w:rsidRPr="00FF4024">
        <w:rPr>
          <w:color w:val="000000"/>
          <w:vertAlign w:val="subscript"/>
        </w:rPr>
        <w:t>2</w:t>
      </w:r>
      <w:r w:rsidRPr="00FF4024">
        <w:rPr>
          <w:color w:val="000000"/>
        </w:rPr>
        <w:t xml:space="preserve"> </w:t>
      </w:r>
      <w:r w:rsidR="00BE2702">
        <w:rPr>
          <w:color w:val="000000"/>
        </w:rPr>
        <w:t>uptake properties</w:t>
      </w:r>
      <w:r w:rsidRPr="00FF4024">
        <w:rPr>
          <w:color w:val="000000"/>
        </w:rPr>
        <w:t xml:space="preserve"> of chars prepared by pyrolysis </w:t>
      </w:r>
      <w:r w:rsidR="000E7868">
        <w:rPr>
          <w:color w:val="000000"/>
        </w:rPr>
        <w:t xml:space="preserve">at </w:t>
      </w:r>
      <w:r w:rsidR="00D55FB4">
        <w:rPr>
          <w:color w:val="000000"/>
        </w:rPr>
        <w:t xml:space="preserve">three </w:t>
      </w:r>
      <w:r w:rsidR="000E7868">
        <w:rPr>
          <w:color w:val="000000"/>
        </w:rPr>
        <w:t xml:space="preserve">different temperatures </w:t>
      </w:r>
      <w:r w:rsidRPr="00FF4024">
        <w:rPr>
          <w:color w:val="000000"/>
        </w:rPr>
        <w:t xml:space="preserve">of </w:t>
      </w:r>
      <w:r w:rsidR="000E7868">
        <w:rPr>
          <w:color w:val="000000"/>
        </w:rPr>
        <w:t xml:space="preserve">two animal wastes, </w:t>
      </w:r>
      <w:r w:rsidRPr="00FF4024">
        <w:rPr>
          <w:color w:val="000000"/>
        </w:rPr>
        <w:t xml:space="preserve">digested manure and MBM, </w:t>
      </w:r>
      <w:r w:rsidR="000E7868">
        <w:rPr>
          <w:color w:val="000000"/>
        </w:rPr>
        <w:t>and two proteins, collagen and soybean protein (</w:t>
      </w:r>
      <w:r w:rsidRPr="00FF4024">
        <w:rPr>
          <w:color w:val="000000"/>
        </w:rPr>
        <w:t xml:space="preserve">considered </w:t>
      </w:r>
      <w:r w:rsidR="000E7868">
        <w:rPr>
          <w:color w:val="000000"/>
        </w:rPr>
        <w:t xml:space="preserve">as </w:t>
      </w:r>
      <w:r w:rsidRPr="00FF4024">
        <w:rPr>
          <w:color w:val="000000"/>
        </w:rPr>
        <w:t>representative model compounds of the proteins found in these residues)</w:t>
      </w:r>
      <w:r w:rsidR="000E7868" w:rsidRPr="000E7868">
        <w:rPr>
          <w:color w:val="000000"/>
        </w:rPr>
        <w:t xml:space="preserve"> </w:t>
      </w:r>
      <w:r w:rsidRPr="00FF4024">
        <w:rPr>
          <w:color w:val="000000"/>
        </w:rPr>
        <w:t>have been investigated and compared. The CO</w:t>
      </w:r>
      <w:r w:rsidRPr="000E7868">
        <w:rPr>
          <w:color w:val="000000"/>
          <w:vertAlign w:val="subscript"/>
        </w:rPr>
        <w:t>2</w:t>
      </w:r>
      <w:r w:rsidRPr="00FF4024">
        <w:rPr>
          <w:color w:val="000000"/>
        </w:rPr>
        <w:t xml:space="preserve"> adsorption capacities at room temperature have been measured with a TG</w:t>
      </w:r>
      <w:r w:rsidR="000E7868">
        <w:rPr>
          <w:color w:val="000000"/>
        </w:rPr>
        <w:t>A</w:t>
      </w:r>
      <w:r w:rsidRPr="00FF4024">
        <w:rPr>
          <w:color w:val="000000"/>
        </w:rPr>
        <w:t xml:space="preserve"> </w:t>
      </w:r>
      <w:r w:rsidR="000E7868">
        <w:rPr>
          <w:color w:val="000000"/>
        </w:rPr>
        <w:t>apparatus</w:t>
      </w:r>
      <w:r w:rsidRPr="00FF4024">
        <w:rPr>
          <w:color w:val="000000"/>
        </w:rPr>
        <w:t xml:space="preserve"> and the stability and regenerability of all char samples have been determined. The CO</w:t>
      </w:r>
      <w:r w:rsidRPr="00FF4024">
        <w:rPr>
          <w:color w:val="000000"/>
          <w:vertAlign w:val="subscript"/>
        </w:rPr>
        <w:t>2</w:t>
      </w:r>
      <w:r w:rsidRPr="00FF4024">
        <w:rPr>
          <w:color w:val="000000"/>
        </w:rPr>
        <w:t xml:space="preserve"> adsorption capacities of chars </w:t>
      </w:r>
      <w:r w:rsidR="004245F6">
        <w:rPr>
          <w:color w:val="000000"/>
        </w:rPr>
        <w:t xml:space="preserve">from both proteins </w:t>
      </w:r>
      <w:r w:rsidRPr="00FF4024">
        <w:rPr>
          <w:color w:val="000000"/>
        </w:rPr>
        <w:t>were found to be very similar</w:t>
      </w:r>
      <w:r w:rsidR="006B2CFC">
        <w:rPr>
          <w:color w:val="000000"/>
        </w:rPr>
        <w:t xml:space="preserve"> (up to 40 mg/</w:t>
      </w:r>
      <w:r w:rsidR="006B2CFC" w:rsidRPr="00FF4024">
        <w:rPr>
          <w:color w:val="000000"/>
        </w:rPr>
        <w:t>g</w:t>
      </w:r>
      <w:r w:rsidR="00871405">
        <w:rPr>
          <w:color w:val="000000"/>
        </w:rPr>
        <w:t xml:space="preserve"> for the chars prepared at 750 ºC</w:t>
      </w:r>
      <w:r w:rsidR="006B2CFC" w:rsidRPr="00FF4024">
        <w:rPr>
          <w:color w:val="000000"/>
        </w:rPr>
        <w:t>)</w:t>
      </w:r>
      <w:r w:rsidRPr="00FF4024">
        <w:rPr>
          <w:color w:val="000000"/>
        </w:rPr>
        <w:t xml:space="preserve">. Despite the lower </w:t>
      </w:r>
      <w:r w:rsidR="006B2CFC">
        <w:rPr>
          <w:color w:val="000000"/>
        </w:rPr>
        <w:t xml:space="preserve">BET </w:t>
      </w:r>
      <w:r w:rsidRPr="00FF4024">
        <w:rPr>
          <w:color w:val="000000"/>
        </w:rPr>
        <w:t xml:space="preserve">surface area of </w:t>
      </w:r>
      <w:r w:rsidR="006B2CFC">
        <w:rPr>
          <w:color w:val="000000"/>
        </w:rPr>
        <w:t xml:space="preserve">the </w:t>
      </w:r>
      <w:r w:rsidRPr="00FF4024">
        <w:rPr>
          <w:color w:val="000000"/>
        </w:rPr>
        <w:t>protein</w:t>
      </w:r>
      <w:r w:rsidR="006B2CFC">
        <w:rPr>
          <w:color w:val="000000"/>
        </w:rPr>
        <w:t>s</w:t>
      </w:r>
      <w:r w:rsidRPr="00FF4024">
        <w:rPr>
          <w:color w:val="000000"/>
        </w:rPr>
        <w:t xml:space="preserve"> chars (</w:t>
      </w:r>
      <w:r w:rsidR="000E7868">
        <w:rPr>
          <w:color w:val="000000"/>
        </w:rPr>
        <w:t>in the range of 1</w:t>
      </w:r>
      <w:r w:rsidRPr="00FF4024">
        <w:rPr>
          <w:color w:val="000000"/>
        </w:rPr>
        <w:t xml:space="preserve"> m</w:t>
      </w:r>
      <w:r w:rsidRPr="00FF4024">
        <w:rPr>
          <w:color w:val="000000"/>
          <w:vertAlign w:val="superscript"/>
        </w:rPr>
        <w:t>2</w:t>
      </w:r>
      <w:r w:rsidR="004245F6">
        <w:rPr>
          <w:color w:val="000000"/>
        </w:rPr>
        <w:t>/</w:t>
      </w:r>
      <w:r w:rsidRPr="00FF4024">
        <w:rPr>
          <w:color w:val="000000"/>
        </w:rPr>
        <w:t>g</w:t>
      </w:r>
      <w:r w:rsidR="000E7868">
        <w:rPr>
          <w:color w:val="000000"/>
        </w:rPr>
        <w:t xml:space="preserve"> </w:t>
      </w:r>
      <w:r w:rsidR="006B2CFC">
        <w:rPr>
          <w:color w:val="000000"/>
        </w:rPr>
        <w:t>measured with N</w:t>
      </w:r>
      <w:r w:rsidR="006B2CFC" w:rsidRPr="006B2CFC">
        <w:rPr>
          <w:color w:val="000000"/>
          <w:vertAlign w:val="subscript"/>
        </w:rPr>
        <w:t>2</w:t>
      </w:r>
      <w:r w:rsidR="007D4346">
        <w:rPr>
          <w:color w:val="000000"/>
        </w:rPr>
        <w:t xml:space="preserve"> </w:t>
      </w:r>
      <w:r w:rsidR="006B2CFC">
        <w:rPr>
          <w:color w:val="000000"/>
        </w:rPr>
        <w:t>adsorption</w:t>
      </w:r>
      <w:r w:rsidRPr="00FF4024">
        <w:rPr>
          <w:color w:val="000000"/>
        </w:rPr>
        <w:t xml:space="preserve">), their </w:t>
      </w:r>
      <w:r w:rsidR="000E7868">
        <w:rPr>
          <w:color w:val="000000"/>
        </w:rPr>
        <w:t>CO</w:t>
      </w:r>
      <w:r w:rsidR="000E7868" w:rsidRPr="000E7868">
        <w:rPr>
          <w:color w:val="000000"/>
          <w:vertAlign w:val="subscript"/>
        </w:rPr>
        <w:t>2</w:t>
      </w:r>
      <w:r w:rsidR="000E7868">
        <w:rPr>
          <w:color w:val="000000"/>
        </w:rPr>
        <w:t xml:space="preserve"> adsorption </w:t>
      </w:r>
      <w:r w:rsidRPr="00FF4024">
        <w:rPr>
          <w:color w:val="000000"/>
        </w:rPr>
        <w:t xml:space="preserve">capacities </w:t>
      </w:r>
      <w:r w:rsidR="000E7868">
        <w:rPr>
          <w:color w:val="000000"/>
        </w:rPr>
        <w:t>was found to</w:t>
      </w:r>
      <w:r w:rsidR="00871405">
        <w:rPr>
          <w:color w:val="000000"/>
        </w:rPr>
        <w:t xml:space="preserve"> be</w:t>
      </w:r>
      <w:r w:rsidR="000E7868">
        <w:rPr>
          <w:color w:val="000000"/>
        </w:rPr>
        <w:t xml:space="preserve"> double</w:t>
      </w:r>
      <w:r w:rsidRPr="00FF4024">
        <w:rPr>
          <w:color w:val="000000"/>
        </w:rPr>
        <w:t xml:space="preserve"> </w:t>
      </w:r>
      <w:r w:rsidR="00871405">
        <w:rPr>
          <w:color w:val="000000"/>
        </w:rPr>
        <w:t xml:space="preserve">to </w:t>
      </w:r>
      <w:r w:rsidRPr="00FF4024">
        <w:rPr>
          <w:color w:val="000000"/>
        </w:rPr>
        <w:t xml:space="preserve">those obtained from animal wastes. The preliminary data </w:t>
      </w:r>
      <w:r w:rsidR="006B2CFC">
        <w:rPr>
          <w:color w:val="000000"/>
        </w:rPr>
        <w:t xml:space="preserve">in this study </w:t>
      </w:r>
      <w:r w:rsidR="00871405">
        <w:rPr>
          <w:color w:val="000000"/>
        </w:rPr>
        <w:t>might be explained with a</w:t>
      </w:r>
      <w:r w:rsidR="006B2CFC">
        <w:rPr>
          <w:color w:val="000000"/>
        </w:rPr>
        <w:t xml:space="preserve"> ultramicroporous texture</w:t>
      </w:r>
      <w:r w:rsidR="00EC0F7D">
        <w:rPr>
          <w:color w:val="000000"/>
        </w:rPr>
        <w:t>,</w:t>
      </w:r>
      <w:r w:rsidR="00871405">
        <w:rPr>
          <w:color w:val="000000"/>
        </w:rPr>
        <w:t xml:space="preserve"> but additional wo</w:t>
      </w:r>
      <w:r w:rsidR="00EC0F7D">
        <w:rPr>
          <w:color w:val="000000"/>
        </w:rPr>
        <w:t>r</w:t>
      </w:r>
      <w:r w:rsidR="00871405">
        <w:rPr>
          <w:color w:val="000000"/>
        </w:rPr>
        <w:t>k is needed to support this idea</w:t>
      </w:r>
      <w:r w:rsidRPr="00FF4024">
        <w:rPr>
          <w:color w:val="000000"/>
        </w:rPr>
        <w:t>.</w:t>
      </w:r>
    </w:p>
    <w:p w14:paraId="715FDA97" w14:textId="77777777" w:rsidR="00B57377" w:rsidRDefault="00B57377" w:rsidP="00BE2702">
      <w:pPr>
        <w:pBdr>
          <w:top w:val="nil"/>
          <w:left w:val="nil"/>
          <w:bottom w:val="nil"/>
          <w:right w:val="nil"/>
          <w:between w:val="nil"/>
        </w:pBdr>
        <w:spacing w:before="240" w:line="240" w:lineRule="auto"/>
        <w:ind w:right="0" w:firstLine="0"/>
        <w:jc w:val="left"/>
        <w:rPr>
          <w:i/>
          <w:color w:val="000000"/>
          <w:sz w:val="19"/>
          <w:szCs w:val="19"/>
        </w:rPr>
      </w:pPr>
      <w:r>
        <w:rPr>
          <w:i/>
          <w:color w:val="000000"/>
          <w:sz w:val="19"/>
          <w:szCs w:val="19"/>
        </w:rPr>
        <w:t>Keywords: CO</w:t>
      </w:r>
      <w:r>
        <w:rPr>
          <w:i/>
          <w:color w:val="000000"/>
          <w:sz w:val="19"/>
          <w:szCs w:val="19"/>
          <w:vertAlign w:val="subscript"/>
        </w:rPr>
        <w:t>2</w:t>
      </w:r>
      <w:r>
        <w:rPr>
          <w:i/>
          <w:color w:val="000000"/>
          <w:sz w:val="19"/>
          <w:szCs w:val="19"/>
        </w:rPr>
        <w:t xml:space="preserve"> adsorption capacity, collagen char, soybean protein char, manure char and meat and bone meal char</w:t>
      </w:r>
    </w:p>
    <w:p w14:paraId="798D2B2C" w14:textId="77777777" w:rsidR="0047067C" w:rsidRPr="00FB6A81" w:rsidRDefault="0047067C" w:rsidP="000375B8">
      <w:pPr>
        <w:pStyle w:val="Paragrafoprincipale"/>
      </w:pPr>
      <w:r w:rsidRPr="00FB6A81">
        <w:t>INTRODUCTION</w:t>
      </w:r>
    </w:p>
    <w:p w14:paraId="3EAB1262" w14:textId="485ED431" w:rsidR="00B57377" w:rsidRPr="00B57377" w:rsidRDefault="00B57377" w:rsidP="00B57377">
      <w:pPr>
        <w:pStyle w:val="Paragrafoprincipale"/>
        <w:numPr>
          <w:ilvl w:val="0"/>
          <w:numId w:val="0"/>
        </w:numPr>
        <w:spacing w:before="0" w:after="0"/>
        <w:ind w:firstLine="284"/>
        <w:rPr>
          <w:b w:val="0"/>
        </w:rPr>
      </w:pPr>
      <w:r w:rsidRPr="00B57377">
        <w:rPr>
          <w:b w:val="0"/>
        </w:rPr>
        <w:t xml:space="preserve">Biogas technology has been actively promoted within the framework of the objectives of EU for the period 2010 to 2030 in order to increase the use of renewable energies and to decrease the </w:t>
      </w:r>
      <w:r w:rsidRPr="00B57377">
        <w:rPr>
          <w:b w:val="0"/>
        </w:rPr>
        <w:lastRenderedPageBreak/>
        <w:t xml:space="preserve">emissions of greenhouse gases. Farming and intensive livestock are very important sectors in which the installed capacity of biogas generation can be increased. </w:t>
      </w:r>
      <w:r w:rsidR="00071B35">
        <w:rPr>
          <w:b w:val="0"/>
        </w:rPr>
        <w:t>A</w:t>
      </w:r>
      <w:r w:rsidRPr="00B57377">
        <w:rPr>
          <w:b w:val="0"/>
        </w:rPr>
        <w:t xml:space="preserve">naerobic digestion (AD) or co-digestion of various animal waste materials produced in these sectors presents an interesting opportunity for valorization by means of energy generation. </w:t>
      </w:r>
      <w:r w:rsidR="00071B35">
        <w:rPr>
          <w:b w:val="0"/>
        </w:rPr>
        <w:t>However, t</w:t>
      </w:r>
      <w:r w:rsidRPr="00B57377">
        <w:rPr>
          <w:b w:val="0"/>
        </w:rPr>
        <w:t xml:space="preserve">he economic </w:t>
      </w:r>
      <w:proofErr w:type="spellStart"/>
      <w:r w:rsidRPr="00B57377">
        <w:rPr>
          <w:b w:val="0"/>
        </w:rPr>
        <w:t>feasability</w:t>
      </w:r>
      <w:proofErr w:type="spellEnd"/>
      <w:r w:rsidRPr="00B57377">
        <w:rPr>
          <w:b w:val="0"/>
        </w:rPr>
        <w:t xml:space="preserve"> of the </w:t>
      </w:r>
      <w:r w:rsidR="00071B35">
        <w:rPr>
          <w:b w:val="0"/>
        </w:rPr>
        <w:t>process</w:t>
      </w:r>
      <w:r w:rsidRPr="00B57377">
        <w:rPr>
          <w:b w:val="0"/>
        </w:rPr>
        <w:t xml:space="preserve"> </w:t>
      </w:r>
      <w:r w:rsidR="00071B35">
        <w:rPr>
          <w:b w:val="0"/>
        </w:rPr>
        <w:t>has</w:t>
      </w:r>
      <w:r w:rsidRPr="00B57377">
        <w:rPr>
          <w:b w:val="0"/>
        </w:rPr>
        <w:t xml:space="preserve"> </w:t>
      </w:r>
      <w:r w:rsidR="00223D21" w:rsidRPr="00B57377">
        <w:rPr>
          <w:b w:val="0"/>
        </w:rPr>
        <w:t>hindered</w:t>
      </w:r>
      <w:r w:rsidRPr="00B57377">
        <w:rPr>
          <w:b w:val="0"/>
        </w:rPr>
        <w:t xml:space="preserve"> </w:t>
      </w:r>
      <w:r w:rsidR="00071B35">
        <w:rPr>
          <w:b w:val="0"/>
        </w:rPr>
        <w:t>its</w:t>
      </w:r>
      <w:r w:rsidRPr="00B57377">
        <w:rPr>
          <w:b w:val="0"/>
        </w:rPr>
        <w:t xml:space="preserve"> widespread development</w:t>
      </w:r>
      <w:r w:rsidR="00071B35">
        <w:rPr>
          <w:b w:val="0"/>
        </w:rPr>
        <w:t>.</w:t>
      </w:r>
      <w:r w:rsidR="00223D21">
        <w:rPr>
          <w:b w:val="0"/>
        </w:rPr>
        <w:t xml:space="preserve"> S</w:t>
      </w:r>
      <w:r w:rsidRPr="00B57377">
        <w:rPr>
          <w:b w:val="0"/>
        </w:rPr>
        <w:t xml:space="preserve">uccessful AD requires the </w:t>
      </w:r>
      <w:proofErr w:type="spellStart"/>
      <w:r w:rsidRPr="00B57377">
        <w:rPr>
          <w:b w:val="0"/>
        </w:rPr>
        <w:t>proccessing</w:t>
      </w:r>
      <w:proofErr w:type="spellEnd"/>
      <w:r w:rsidRPr="00B57377">
        <w:rPr>
          <w:b w:val="0"/>
        </w:rPr>
        <w:t xml:space="preserve"> of adequate residues under specific operating conditions, so not all residues can be biologically degraded, </w:t>
      </w:r>
      <w:r w:rsidR="00223D21">
        <w:rPr>
          <w:b w:val="0"/>
        </w:rPr>
        <w:t>which reduces the</w:t>
      </w:r>
      <w:r w:rsidRPr="00B57377">
        <w:rPr>
          <w:b w:val="0"/>
        </w:rPr>
        <w:t xml:space="preserve"> flexibility of the feed composition </w:t>
      </w:r>
      <w:r w:rsidRPr="00B57377">
        <w:rPr>
          <w:b w:val="0"/>
        </w:rPr>
        <w:fldChar w:fldCharType="begin" w:fldLock="1"/>
      </w:r>
      <w:r w:rsidR="00D77045">
        <w:rPr>
          <w:b w:val="0"/>
        </w:rPr>
        <w:instrText>ADDIN CSL_CITATION {"citationItems":[{"id":"ITEM-1","itemData":{"DOI":"10.1016/j.egyr.2020.10.008","ISSN":"23524847","abstract":"The rising amount of organic wastes (biomasses) generated annually constitute serious environmental concerns but hold enormous potentials in solving the increasing global energy demand. When properly harnessed, they are good renewable energy sources with capabilities of bridging the energy demand gaps and ameliorating environmental concerns of developing climes. In this study, the mixed-method approach of anaerobic digestion and thermogravimetry were used in the ranking of eighteen selected agro-industrial biomasses based on their energy (biomethane or thermochemical) conversion potentials. The ultimate and proximate properties of the substrates were determined, then the experimental biomethane potentials (BMP) were carried out via anaerobic digestion of feedstocks at mesophilic conditions for 30 days. The biomasses were also degraded thermally within a temperature range of 50 and 800 °C, torrefaction and the pyrolysis char yields were determined. The calorific values and the theoretical biomethane potentials (TBMP) were calculated from the elemental compositions of substrates. From the results obtained, lignocellulosic plant materials and the animal manures recorded lower methane yields and biodegradability. Although the animal manures had appreciable high heating values (HHVs), their BMP yields were poor with biodegradability as low as 25.8%. Consistent with agro-based biomasses, most of the biomass had low H/Ceff, high H/C and O/C atomic ratios. Based on ranking criteria, waste samples from animal carcasses and oil crops were ranked topmost in both thermochemical and biochemical energy conversion. Co-digestion/degradation of high ranked biomass with others and enhancements of the substrate before energy conversion is recommended. Thermal upgrade of biomasses and co-pyrolysis with coal is also recommended.","author":[{"dropping-particle":"","family":"Ugwu","given":"S. N.","non-dropping-particle":"","parse-names":false,"suffix":""},{"dropping-particle":"","family":"Enweremadu","given":"C. C.","non-dropping-particle":"","parse-names":false,"suffix":""}],"container-title":"Energy Reports","id":"ITEM-1","issued":{"date-parts":[["2020","11"]]},"page":"2794-2802","publisher":"Elsevier Ltd","title":"Ranking of energy potentials of agro-industrial wastes: Bioconversion and thermo-conversion approach","type":"article-journal","volume":"6"},"uris":["http://www.mendeley.com/documents/?uuid=8d950d33-5529-339c-bcf5-e9ac8a6560df","http://www.mendeley.com/documents/?uuid=5e2bc001-9de1-482a-b982-c5c8011e813c"]}],"mendeley":{"formattedCitation":"(Ugwu &amp; Enweremadu, 2020)","plainTextFormattedCitation":"(Ugwu &amp; Enweremadu, 2020)","previouslyFormattedCitation":"(Ugwu &amp; Enweremadu, 2020)"},"properties":{"noteIndex":0},"schema":"https://github.com/citation-style-language/schema/raw/master/csl-citation.json"}</w:instrText>
      </w:r>
      <w:r w:rsidRPr="00B57377">
        <w:rPr>
          <w:b w:val="0"/>
        </w:rPr>
        <w:fldChar w:fldCharType="separate"/>
      </w:r>
      <w:r w:rsidRPr="00B57377">
        <w:rPr>
          <w:b w:val="0"/>
          <w:noProof/>
        </w:rPr>
        <w:t>(Ugwu &amp; Enweremadu, 2020)</w:t>
      </w:r>
      <w:r w:rsidRPr="00B57377">
        <w:rPr>
          <w:b w:val="0"/>
        </w:rPr>
        <w:fldChar w:fldCharType="end"/>
      </w:r>
      <w:r w:rsidRPr="00B57377">
        <w:rPr>
          <w:b w:val="0"/>
        </w:rPr>
        <w:t>. While manure is a waste material suitable for AD</w:t>
      </w:r>
      <w:r w:rsidR="00223D21">
        <w:rPr>
          <w:b w:val="0"/>
        </w:rPr>
        <w:t>,</w:t>
      </w:r>
      <w:r w:rsidRPr="00B57377">
        <w:rPr>
          <w:b w:val="0"/>
        </w:rPr>
        <w:t xml:space="preserve"> this is not the case for other residues produced in intensive livestock areas, e.g. meat and bone meal (MBM). Therefore, a more flexible integrated process is needed </w:t>
      </w:r>
      <w:r w:rsidR="00223D21">
        <w:rPr>
          <w:b w:val="0"/>
        </w:rPr>
        <w:t>to valorize</w:t>
      </w:r>
      <w:r w:rsidRPr="00B57377">
        <w:rPr>
          <w:b w:val="0"/>
        </w:rPr>
        <w:t xml:space="preserve"> the entire range of residues produced in agricultural areas. Another issue to </w:t>
      </w:r>
      <w:r w:rsidR="00223D21">
        <w:rPr>
          <w:b w:val="0"/>
        </w:rPr>
        <w:t xml:space="preserve">be </w:t>
      </w:r>
      <w:r w:rsidRPr="00B57377">
        <w:rPr>
          <w:b w:val="0"/>
        </w:rPr>
        <w:t>consider</w:t>
      </w:r>
      <w:r w:rsidR="00223D21">
        <w:rPr>
          <w:b w:val="0"/>
        </w:rPr>
        <w:t>ed</w:t>
      </w:r>
      <w:r w:rsidRPr="00B57377">
        <w:rPr>
          <w:b w:val="0"/>
        </w:rPr>
        <w:t xml:space="preserve"> is that raw biogas </w:t>
      </w:r>
      <w:r w:rsidR="00871405">
        <w:rPr>
          <w:b w:val="0"/>
        </w:rPr>
        <w:t xml:space="preserve">does not fulfill certain </w:t>
      </w:r>
      <w:r w:rsidRPr="00B57377">
        <w:rPr>
          <w:b w:val="0"/>
        </w:rPr>
        <w:t>specifications for g</w:t>
      </w:r>
      <w:r w:rsidR="00871405">
        <w:rPr>
          <w:b w:val="0"/>
        </w:rPr>
        <w:t xml:space="preserve">enerating electricity directly. This makes some </w:t>
      </w:r>
      <w:r w:rsidRPr="00B57377">
        <w:rPr>
          <w:b w:val="0"/>
        </w:rPr>
        <w:t xml:space="preserve">upgrading </w:t>
      </w:r>
      <w:proofErr w:type="spellStart"/>
      <w:r w:rsidRPr="00B57377">
        <w:rPr>
          <w:b w:val="0"/>
        </w:rPr>
        <w:t>neccesary</w:t>
      </w:r>
      <w:proofErr w:type="spellEnd"/>
      <w:r w:rsidRPr="00B57377">
        <w:rPr>
          <w:b w:val="0"/>
        </w:rPr>
        <w:t xml:space="preserve">, </w:t>
      </w:r>
      <w:r w:rsidR="00871405">
        <w:rPr>
          <w:b w:val="0"/>
        </w:rPr>
        <w:t xml:space="preserve">which </w:t>
      </w:r>
      <w:r w:rsidRPr="00B57377">
        <w:rPr>
          <w:b w:val="0"/>
        </w:rPr>
        <w:t>add</w:t>
      </w:r>
      <w:r w:rsidR="00871405">
        <w:rPr>
          <w:b w:val="0"/>
        </w:rPr>
        <w:t>s significantly to the</w:t>
      </w:r>
      <w:r w:rsidRPr="00B57377">
        <w:rPr>
          <w:b w:val="0"/>
        </w:rPr>
        <w:t xml:space="preserve"> costs. Finally, the </w:t>
      </w:r>
      <w:proofErr w:type="spellStart"/>
      <w:r w:rsidRPr="00B57377">
        <w:rPr>
          <w:b w:val="0"/>
        </w:rPr>
        <w:t>digestate</w:t>
      </w:r>
      <w:proofErr w:type="spellEnd"/>
      <w:r w:rsidRPr="00B57377">
        <w:rPr>
          <w:b w:val="0"/>
        </w:rPr>
        <w:t xml:space="preserve"> from AD needs adequate management due to environmental reasons. </w:t>
      </w:r>
    </w:p>
    <w:p w14:paraId="43ED1B75" w14:textId="7F4F3784" w:rsidR="00B57377" w:rsidRPr="00B57377" w:rsidRDefault="00871405" w:rsidP="00B57377">
      <w:pPr>
        <w:pStyle w:val="Paragrafoprincipale"/>
        <w:numPr>
          <w:ilvl w:val="0"/>
          <w:numId w:val="0"/>
        </w:numPr>
        <w:spacing w:before="0" w:after="0"/>
        <w:ind w:firstLine="284"/>
        <w:rPr>
          <w:b w:val="0"/>
        </w:rPr>
      </w:pPr>
      <w:r>
        <w:rPr>
          <w:b w:val="0"/>
        </w:rPr>
        <w:t>B</w:t>
      </w:r>
      <w:r w:rsidR="00B57377" w:rsidRPr="00B57377">
        <w:rPr>
          <w:b w:val="0"/>
        </w:rPr>
        <w:t xml:space="preserve">iogas is a complex mixture of </w:t>
      </w:r>
      <w:r w:rsidR="00223D21">
        <w:rPr>
          <w:b w:val="0"/>
        </w:rPr>
        <w:t>CH</w:t>
      </w:r>
      <w:r w:rsidR="00223D21" w:rsidRPr="00223D21">
        <w:rPr>
          <w:b w:val="0"/>
          <w:vertAlign w:val="subscript"/>
        </w:rPr>
        <w:t>4</w:t>
      </w:r>
      <w:r w:rsidR="00223D21">
        <w:rPr>
          <w:b w:val="0"/>
        </w:rPr>
        <w:t xml:space="preserve"> </w:t>
      </w:r>
      <w:r w:rsidR="00B57377" w:rsidRPr="00B57377">
        <w:rPr>
          <w:b w:val="0"/>
        </w:rPr>
        <w:t>and large amounts of CO</w:t>
      </w:r>
      <w:r w:rsidR="00B57377" w:rsidRPr="00B57377">
        <w:rPr>
          <w:b w:val="0"/>
          <w:vertAlign w:val="subscript"/>
        </w:rPr>
        <w:t>2</w:t>
      </w:r>
      <w:r w:rsidR="00B57377" w:rsidRPr="00B57377">
        <w:rPr>
          <w:b w:val="0"/>
        </w:rPr>
        <w:t xml:space="preserve"> (25 – 50%) as well as other undesired gases. The high concentration of CO</w:t>
      </w:r>
      <w:r w:rsidR="00B57377" w:rsidRPr="00B57377">
        <w:rPr>
          <w:b w:val="0"/>
          <w:vertAlign w:val="subscript"/>
        </w:rPr>
        <w:t>2</w:t>
      </w:r>
      <w:r w:rsidR="00B57377" w:rsidRPr="00B57377">
        <w:rPr>
          <w:b w:val="0"/>
        </w:rPr>
        <w:t xml:space="preserve"> results in a low heating value of </w:t>
      </w:r>
      <w:r w:rsidR="00223D21">
        <w:rPr>
          <w:b w:val="0"/>
        </w:rPr>
        <w:t>the raw biogas</w:t>
      </w:r>
      <w:r>
        <w:rPr>
          <w:b w:val="0"/>
        </w:rPr>
        <w:t xml:space="preserve">. Therefore, </w:t>
      </w:r>
      <w:r w:rsidR="00B57377" w:rsidRPr="00B57377">
        <w:rPr>
          <w:b w:val="0"/>
        </w:rPr>
        <w:t>CO</w:t>
      </w:r>
      <w:r w:rsidR="00B57377" w:rsidRPr="00B57377">
        <w:rPr>
          <w:b w:val="0"/>
          <w:vertAlign w:val="subscript"/>
        </w:rPr>
        <w:t>2</w:t>
      </w:r>
      <w:r w:rsidR="00B57377" w:rsidRPr="00B57377">
        <w:rPr>
          <w:b w:val="0"/>
        </w:rPr>
        <w:t xml:space="preserve"> </w:t>
      </w:r>
      <w:r w:rsidR="00223D21">
        <w:rPr>
          <w:b w:val="0"/>
        </w:rPr>
        <w:t xml:space="preserve">has to be removed </w:t>
      </w:r>
      <w:r w:rsidR="00B57377" w:rsidRPr="00B57377">
        <w:rPr>
          <w:b w:val="0"/>
        </w:rPr>
        <w:t xml:space="preserve">as part of the biogas upgrading </w:t>
      </w:r>
      <w:r w:rsidR="00B57377" w:rsidRPr="00B57377">
        <w:rPr>
          <w:b w:val="0"/>
        </w:rPr>
        <w:fldChar w:fldCharType="begin" w:fldLock="1"/>
      </w:r>
      <w:r w:rsidR="00B561D5">
        <w:rPr>
          <w:b w:val="0"/>
        </w:rPr>
        <w:instrText>ADDIN CSL_CITATION {"citationItems":[{"id":"ITEM-1","itemData":{"DOI":"10.1016/j.enconman.2017.08.035","ISSN":"01968904","abstract":"Biogas upgrading is a widely studied and discussed topic and its utilisation as a natural gas substitute has gained a significant attention in recent years. The production of biomethane provides a versatile application in both heat and power generation and as a vehicular fuel. This paper systematically reviews the state of the art of biogas upgrading technologies with upgrading efficiency, methane (CH4) loss, environmental effect, development and commercialisation, and challenges in terms of energy consumption and economic assessment. The market situation for biogas upgrading has changed rapidly in recent years, making the membrane separation gets significant market share with traditional biogas upgrading technologies. In addition, the potential utilisation of biogas, efficient conversion into bio-compressed natural gas (bio-CNG), and storage systems are investigated in depth. Two storing systems for bio-CNG at filling stations, namely buffer and cascade storage systems are used. The best storage system should be selected on the basis of the advantages of both systems. Also, the fuel economy and mass emissions for bio-CNG and CNG filled vehicles are studied. There is the same fuel economy and less carbon dioxide (CO2) emission for bio-CNG. Based on the results of comparisons between the technical features of upgrading technologies, various specific requirements for biogas utilisation and the relevant investment, and operating and maintenance costs, future recommendations are made for biogas upgrading.","author":[{"dropping-particle":"","family":"Ullah Khan","given":"Imran","non-dropping-particle":"","parse-names":false,"suffix":""},{"dropping-particle":"","family":"Hafiz Dzarfan Othman","given":"Mohd","non-dropping-particle":"","parse-names":false,"suffix":""},{"dropping-particle":"","family":"Hashim","given":"Haslenda","non-dropping-particle":"","parse-names":false,"suffix":""},{"dropping-particle":"","family":"Matsuura","given":"Takeshi","non-dropping-particle":"","parse-names":false,"suffix":""},{"dropping-particle":"","family":"Ismail","given":"A. F.","non-dropping-particle":"","parse-names":false,"suffix":""},{"dropping-particle":"","family":"Rezaei-DashtArzhandi","given":"M.","non-dropping-particle":"","parse-names":false,"suffix":""},{"dropping-particle":"","family":"Wan Azelee","given":"I.","non-dropping-particle":"","parse-names":false,"suffix":""}],"container-title":"Energy Conversion and Management","id":"ITEM-1","issued":{"date-parts":[["2017"]]},"page":"277-294","publisher":"Elsevier Ltd","title":"Biogas as a renewable energy fuel – A review of biogas upgrading, utilisation and storage","type":"article-journal","volume":"150"},"uris":["http://www.mendeley.com/documents/?uuid=5db39e39-38fe-35f2-ade8-854d0bd8c5b1","http://www.mendeley.com/documents/?uuid=ce6f1f04-d3df-4e9b-a7b6-8032d56b9a1d"]}],"mendeley":{"formattedCitation":"(Ullah Khan et al., 2017)","plainTextFormattedCitation":"(Ullah Khan et al., 2017)","previouslyFormattedCitation":"(Ullah Khan et al., 2017)"},"properties":{"noteIndex":0},"schema":"https://github.com/citation-style-language/schema/raw/master/csl-citation.json"}</w:instrText>
      </w:r>
      <w:r w:rsidR="00B57377" w:rsidRPr="00B57377">
        <w:rPr>
          <w:b w:val="0"/>
        </w:rPr>
        <w:fldChar w:fldCharType="separate"/>
      </w:r>
      <w:r w:rsidR="00B57377" w:rsidRPr="00B57377">
        <w:rPr>
          <w:b w:val="0"/>
          <w:noProof/>
        </w:rPr>
        <w:t>(Ullah Khan et al., 2017)</w:t>
      </w:r>
      <w:r w:rsidR="00B57377" w:rsidRPr="00B57377">
        <w:rPr>
          <w:b w:val="0"/>
        </w:rPr>
        <w:fldChar w:fldCharType="end"/>
      </w:r>
      <w:r w:rsidR="00B57377" w:rsidRPr="00B57377">
        <w:rPr>
          <w:b w:val="0"/>
        </w:rPr>
        <w:t>. Among current commercial technologies for biogas cleaning, adsorption with activated carbon substantially increases the costs of the AD process</w:t>
      </w:r>
      <w:r w:rsidR="006160A4">
        <w:rPr>
          <w:b w:val="0"/>
        </w:rPr>
        <w:t>,</w:t>
      </w:r>
      <w:r w:rsidR="00B57377" w:rsidRPr="00B57377">
        <w:rPr>
          <w:b w:val="0"/>
        </w:rPr>
        <w:t xml:space="preserve"> resulting in a </w:t>
      </w:r>
      <w:r>
        <w:rPr>
          <w:b w:val="0"/>
        </w:rPr>
        <w:t xml:space="preserve">severe </w:t>
      </w:r>
      <w:proofErr w:type="spellStart"/>
      <w:r>
        <w:rPr>
          <w:b w:val="0"/>
        </w:rPr>
        <w:t>burdon</w:t>
      </w:r>
      <w:proofErr w:type="spellEnd"/>
      <w:r>
        <w:rPr>
          <w:b w:val="0"/>
        </w:rPr>
        <w:t xml:space="preserve"> for the</w:t>
      </w:r>
      <w:r w:rsidR="00B57377" w:rsidRPr="00B57377">
        <w:rPr>
          <w:b w:val="0"/>
        </w:rPr>
        <w:t xml:space="preserve"> implementation of the process into intensive livestock farming. The high costs of biogas treatment are caused by the relatively high price of activated carbon and also by its regeneration process. Consequently, there is an </w:t>
      </w:r>
      <w:r w:rsidR="006160A4">
        <w:rPr>
          <w:b w:val="0"/>
        </w:rPr>
        <w:t>increasing interest</w:t>
      </w:r>
      <w:r w:rsidR="00B57377" w:rsidRPr="00B57377">
        <w:rPr>
          <w:b w:val="0"/>
        </w:rPr>
        <w:t xml:space="preserve"> </w:t>
      </w:r>
      <w:r>
        <w:rPr>
          <w:b w:val="0"/>
        </w:rPr>
        <w:t>i</w:t>
      </w:r>
      <w:r w:rsidR="006160A4">
        <w:rPr>
          <w:b w:val="0"/>
        </w:rPr>
        <w:t>n</w:t>
      </w:r>
      <w:r w:rsidR="00B57377" w:rsidRPr="00B57377">
        <w:rPr>
          <w:b w:val="0"/>
        </w:rPr>
        <w:t xml:space="preserve"> identify</w:t>
      </w:r>
      <w:r w:rsidR="006160A4">
        <w:rPr>
          <w:b w:val="0"/>
        </w:rPr>
        <w:t>ing</w:t>
      </w:r>
      <w:r w:rsidR="00B57377" w:rsidRPr="00B57377">
        <w:rPr>
          <w:b w:val="0"/>
        </w:rPr>
        <w:t xml:space="preserve"> low-cost adsorbent materials, preferably obtainable from waste materials </w:t>
      </w:r>
      <w:r w:rsidR="00B57377" w:rsidRPr="00B57377">
        <w:rPr>
          <w:b w:val="0"/>
        </w:rPr>
        <w:fldChar w:fldCharType="begin" w:fldLock="1"/>
      </w:r>
      <w:r w:rsidR="00B561D5">
        <w:rPr>
          <w:b w:val="0"/>
        </w:rPr>
        <w:instrText>ADDIN CSL_CITATION {"citationItems":[{"id":"ITEM-1","itemData":{"DOI":"10.1016/j.rser.2021.111081","ISSN":"18790690","abstract":"The main contaminants in biogas namely carbon dioxide, hydrogen sulfide, and siloxanes limit its application especially in engines by reducing energy density and causing corrosion on machine parts. Furthermore, the carbon dioxide in biogas contributes highly to global warming. Therefore, biogas should be upgraded to increase its safe application. Most commercial methods of biogas cleaning are expensive for small and medium scale digesters. There is no review documentation detailing the usage of natural materials in the purification of biogas. The aim of the current study was to systematically and critically review recent developments in the applications of natural materials in the purification and upgrade of biogas. Documented literature indicate that the low-cost natural adsorbents have potential in purification of biogas. The adsorption capacity of biogas contaminants for most materials can be enhanced by physical and chemical activation. The two mechanisms through which these material eliminate carbon dioxide in biogas namely surface adsorption and wet carbonation process have been discussed. In addition, the study looked at the factors that affect the removal of carbon dioxide from biogas using natural materials. The adsorption capacity of biogas contaminants for different natural and modified materials were reviewed. Furthermore, a summary of the merits and demerits of different natural adsorbents for biogas purification is presented. Future studies should investigate the methane loss during upgrading process using low-cost adsorbents. Comparative investigations of the process cost-effectiveness of using natural materials to upgrade biogas should be carried out to determine their suitability against the commercial processes.","author":[{"dropping-particle":"","family":"Mulu","given":"Elshaday","non-dropping-particle":"","parse-names":false,"suffix":""},{"dropping-particle":"","family":"M'Arimi","given":"Milton M.","non-dropping-particle":"","parse-names":false,"suffix":""},{"dropping-particle":"","family":"Ramkat","given":"Rose C.","non-dropping-particle":"","parse-names":false,"suffix":""}],"container-title":"Renewable and Sustainable Energy Reviews","id":"ITEM-1","issued":{"date-parts":[["2021","7"]]},"page":"111081","publisher":"Elsevier Ltd","title":"A review of recent developments in application of low cost natural materials in purification and upgrade of biogas","type":"article-journal","volume":"145"},"uris":["http://www.mendeley.com/documents/?uuid=8838e6cf-c0f2-34dc-a4fc-f4459637525c","http://www.mendeley.com/documents/?uuid=3e926f21-17d3-48e7-b6ab-01a2131f7c79"]}],"mendeley":{"formattedCitation":"(Mulu et al., 2021)","plainTextFormattedCitation":"(Mulu et al., 2021)","previouslyFormattedCitation":"(Mulu et al., 2021)"},"properties":{"noteIndex":0},"schema":"https://github.com/citation-style-language/schema/raw/master/csl-citation.json"}</w:instrText>
      </w:r>
      <w:r w:rsidR="00B57377" w:rsidRPr="00B57377">
        <w:rPr>
          <w:b w:val="0"/>
        </w:rPr>
        <w:fldChar w:fldCharType="separate"/>
      </w:r>
      <w:r w:rsidR="00B57377" w:rsidRPr="00B57377">
        <w:rPr>
          <w:b w:val="0"/>
          <w:noProof/>
        </w:rPr>
        <w:t>(Mulu et al., 2021)</w:t>
      </w:r>
      <w:r w:rsidR="00B57377" w:rsidRPr="00B57377">
        <w:rPr>
          <w:b w:val="0"/>
        </w:rPr>
        <w:fldChar w:fldCharType="end"/>
      </w:r>
      <w:r w:rsidR="00B57377" w:rsidRPr="00B57377">
        <w:rPr>
          <w:b w:val="0"/>
        </w:rPr>
        <w:t xml:space="preserve">. The idea </w:t>
      </w:r>
      <w:r w:rsidR="006160A4">
        <w:rPr>
          <w:b w:val="0"/>
        </w:rPr>
        <w:t>of</w:t>
      </w:r>
      <w:r w:rsidR="00B57377" w:rsidRPr="00B57377">
        <w:rPr>
          <w:b w:val="0"/>
        </w:rPr>
        <w:t xml:space="preserve"> </w:t>
      </w:r>
      <w:r w:rsidR="006160A4">
        <w:rPr>
          <w:b w:val="0"/>
        </w:rPr>
        <w:t>integrating</w:t>
      </w:r>
      <w:r w:rsidR="00B57377" w:rsidRPr="00B57377">
        <w:rPr>
          <w:b w:val="0"/>
        </w:rPr>
        <w:t xml:space="preserve"> the pyrolysis of AD </w:t>
      </w:r>
      <w:proofErr w:type="spellStart"/>
      <w:r w:rsidR="00B57377" w:rsidRPr="00B57377">
        <w:rPr>
          <w:b w:val="0"/>
        </w:rPr>
        <w:t>digestate</w:t>
      </w:r>
      <w:proofErr w:type="spellEnd"/>
      <w:r w:rsidR="00B57377" w:rsidRPr="00B57377">
        <w:rPr>
          <w:b w:val="0"/>
        </w:rPr>
        <w:t xml:space="preserve">, possibly </w:t>
      </w:r>
      <w:r w:rsidR="006160A4">
        <w:rPr>
          <w:b w:val="0"/>
        </w:rPr>
        <w:t>mixed</w:t>
      </w:r>
      <w:r w:rsidR="00B57377" w:rsidRPr="00B57377">
        <w:rPr>
          <w:b w:val="0"/>
        </w:rPr>
        <w:t xml:space="preserve"> with additional residues such as MBM, for onsite char production, presents a promising approach to implement biomass </w:t>
      </w:r>
      <w:r w:rsidR="00EA791F">
        <w:rPr>
          <w:b w:val="0"/>
        </w:rPr>
        <w:t>treatment</w:t>
      </w:r>
      <w:r w:rsidR="00B57377" w:rsidRPr="00B57377">
        <w:rPr>
          <w:b w:val="0"/>
        </w:rPr>
        <w:t xml:space="preserve"> through anaerobic digestion into livestock farming. AD could benefit from the different products generated in </w:t>
      </w:r>
      <w:r>
        <w:rPr>
          <w:b w:val="0"/>
        </w:rPr>
        <w:t xml:space="preserve">the </w:t>
      </w:r>
      <w:r w:rsidR="00B57377" w:rsidRPr="00B57377">
        <w:rPr>
          <w:b w:val="0"/>
        </w:rPr>
        <w:t>pyrolysis</w:t>
      </w:r>
      <w:r>
        <w:rPr>
          <w:b w:val="0"/>
        </w:rPr>
        <w:t xml:space="preserve"> process</w:t>
      </w:r>
      <w:r w:rsidR="00B57377" w:rsidRPr="00B57377">
        <w:rPr>
          <w:b w:val="0"/>
        </w:rPr>
        <w:t xml:space="preserve"> </w:t>
      </w:r>
      <w:r w:rsidR="00B57377" w:rsidRPr="00B57377">
        <w:rPr>
          <w:b w:val="0"/>
        </w:rPr>
        <w:fldChar w:fldCharType="begin" w:fldLock="1"/>
      </w:r>
      <w:r w:rsidR="00D77045">
        <w:rPr>
          <w:b w:val="0"/>
        </w:rPr>
        <w:instrText>ADDIN CSL_CITATION {"citationItems":[{"id":"ITEM-1","itemData":{"DOI":"10.1016/j.scitotenv.2020.144158","ISSN":"18791026","PMID":"33316520","abstract":"In China, the growing amount of digestate from anaerobic digestion produced by animal husbandry is an emerging challenge. A common treatment used to eliminate this digestate is long-term stabilization ponds. However, this process can lead to a shortage of digestate storage space and loss of nitrogen nutrients within the digestate. To alleviate those shortcomings, this study developed an efficient stabilization pond using biochar and persulfate (BC/PS treatment). Using this treatment, the germination index (GI) of the digestate increased from 56% to 85% and the stabilization efficiency increased nearly 2.7 times. In addition, the dehydrogenase activity (DHA) in the BC/PS treatment remained between 0.47 and 0.91 μg/(g·h) across the 40 days, which indicated that BC/PS had a positive effect on microbial inactivation. In the traditional stabilization process (CK treatment), dissolved organic nitrogen (DON) decreased from 47.77 mg/L to 0.81 mg/L and ammonium nitrogen almost disappeared. The BC/PS treatment led to the promotion of nitrogen nutrient composition. Particulate total nitrogen (21.49% of total nitrogen) decomposed into dissolved total nitrogen and the DON increased from 47.77 to 58.89 mg/L. The BC/PS treatment showed a faster stabilization time, good microbial inactivation, lower toxicity, and stable nitrogen nutrient composition of the digestate compared to traditional methods.","author":[{"dropping-particle":"","family":"Chen","given":"Junhao","non-dropping-particle":"","parse-names":false,"suffix":""},{"dropping-particle":"","family":"Jiang","given":"Xuan","non-dropping-particle":"","parse-names":false,"suffix":""},{"dropping-particle":"","family":"Tang","given":"Xin","non-dropping-particle":"","parse-names":false,"suffix":""},{"dropping-particle":"","family":"Sun","given":"Ying","non-dropping-particle":"","parse-names":false,"suffix":""},{"dropping-particle":"","family":"Zhou","given":"Lei","non-dropping-particle":"","parse-names":false,"suffix":""}],"container-title":"Science of the Total Environment","id":"ITEM-1","issued":{"date-parts":[["2021","2"]]},"page":"144158","publisher":"Elsevier B.V.","title":"Use of biochar/persulfate for accelerating the stabilization process and improving nitrogen stability of animal waste digestate","type":"article-journal","volume":"757"},"uris":["http://www.mendeley.com/documents/?uuid=b317d041-c0d0-399b-a3e2-f01705bc8543","http://www.mendeley.com/documents/?uuid=179e6a5e-038a-4287-8627-b42b38b38b58"]},{"id":"ITEM-2","itemData":{"DOI":"10.1016/j.wasman.2020.02.010","ISSN":"18792456","PMID":"32078983","abstract":"Analyzing diazotrophic community may help to understand nitrogen transformation in composting and improves the final compost quality. In this study, diazotrophic community dynamics were investigated in terms of nifH gene during dairy manure and corn straw composting with biochar addition using high-throughput sequencing. Biochar decreased the diversity of diazotrophic community and altered diazotroph community structure during composting. At phylum level, Proteobacteria, Actinobacteria and Firmicutes were dominant diazotrophic communities throughout composting process. Biochar addition registered higher correlation coefficient (R) between physicochemical factors (temperature, ammonium (NH4+-N) and nitrate (NO3−-N)) and diazotroph community composition. Rhodopseudomonas and Pseudoxanthomonas was the key diazotrophic communities influencing NH4+-N transformation in control (CK) and biochar compost (BC), respectively, while for NO3−-N transformation Clostridium and Bradyrhizobium in CK, Azospira and Methylocystis in BC served as predominant factors. These results indicated that addition of biochar altered the key diazotroph communities influencing nitrogen transformation. Furthermore, some diazotrophs (e.g. Rhodopseudomonas, Bradyrhizobium and Azospira) affecting NH4+-N and NO3−-N transformation were also observed to be mediating total nitrogen (TN). Interestingly, interactions between diazotrophic communities were observed and these interactions could also influence nitrogen transformation.","author":[{"dropping-particle":"","family":"Wu","given":"Xiaotong","non-dropping-particle":"","parse-names":false,"suffix":""},{"dropping-particle":"","family":"Sun","given":"Yu","non-dropping-particle":"","parse-names":false,"suffix":""},{"dropping-particle":"","family":"Deng","given":"Liting","non-dropping-particle":"","parse-names":false,"suffix":""},{"dropping-particle":"","family":"Meng","given":"Qingxin","non-dropping-particle":"","parse-names":false,"suffix":""},{"dropping-particle":"","family":"Jiang","given":"Xin","non-dropping-particle":"","parse-names":false,"suffix":""},{"dropping-particle":"","family":"Bello","given":"Ayodeji","non-dropping-particle":"","parse-names":false,"suffix":""},{"dropping-particle":"","family":"Sheng","given":"Siyuan","non-dropping-particle":"","parse-names":false,"suffix":""},{"dropping-particle":"","family":"Han","given":"Yue","non-dropping-particle":"","parse-names":false,"suffix":""},{"dropping-particle":"","family":"Zhu","given":"Haifeng","non-dropping-particle":"","parse-names":false,"suffix":""},{"dropping-particle":"","family":"Xu","given":"Xiuhong","non-dropping-particle":"","parse-names":false,"suffix":""}],"container-title":"Waste Management","id":"ITEM-2","issued":{"date-parts":[["2020","3"]]},"page":"190-197","publisher":"Elsevier Ltd","title":"Insight to key diazotrophic community during composting of dairy manure with biochar and its role in nitrogen transformation","type":"article-journal","volume":"105"},"uris":["http://www.mendeley.com/documents/?uuid=ef89f99d-40d3-3b34-98f4-6cb8d6b6f379","http://www.mendeley.com/documents/?uuid=fb0b4508-fe0f-47a0-b462-14cf6aabfb57"]},{"id":"ITEM-3","itemData":{"DOI":"10.1016/j.jclepro.2018.07.079","ISSN":"09596526","abstract":"This study presents the effect of certain porous materials on the production of biogas from the anaerobic co-digestion of a mix of sheep manure (20 wt.%) and cheese whey (80 wt.%). These porous materials are custom-made from recycling agricultural and forestry wastes - almond shells, walnut shells, kenaf fibre, and charcoal. The manufacturing cost is therefore low. They are crushed and sieved, and then fed into the bioreactor to form a fixed bed in order to make a greater surface available for bacterial adhesion, and thus increase the microbial population in the reaction medium. The ultimate objective is to increase biogas production, i.e., to maximize the energy yielded by the codigestion of this mixture. The conclusion drawn from the results of the study was that the greatest long-term (for reaction times over 168 days) biogas production is obtained when using charcoal as the porous material. There was a 27.82% increase in methane (CH4) production compared with the biomethanization of the mixture without any porous material in the reactor (control experiment), and a 50% reduction in chemical oxygen demand (COD). The study of the economic viability of an industrial plant, based on previous results, showed that the period of return on investment (PRI), net present value (NPV), and internal rate of return (IRR) economic parameters are highly favourable. In particular, with the use of charcoal, a PRI of 8 years and an IRR of 10% are achieved.","author":[{"dropping-particle":"","family":"Sánchez-Sánchez","given":"Consolación","non-dropping-particle":"","parse-names":false,"suffix":""},{"dropping-particle":"","family":"González-González","given":"Almudena","non-dropping-particle":"","parse-names":false,"suffix":""},{"dropping-particle":"","family":"Cuadros-Salcedo","given":"Francisco","non-dropping-particle":"","parse-names":false,"suffix":""},{"dropping-particle":"","family":"Cuadros-Blázquez","given":"Francisco","non-dropping-particle":"","parse-names":false,"suffix":""}],"container-title":"Journal of Cleaner Production","id":"ITEM-3","issued":{"date-parts":[["2018","10"]]},"page":"1165-1172","publisher":"Elsevier Ltd","title":"Using low-cost porous materials to increase biogas production: A case study in Extremadura (Spain)","type":"article-journal","volume":"198"},"uris":["http://www.mendeley.com/documents/?uuid=bdf1174d-2de5-3570-acc1-221e85602acf","http://www.mendeley.com/documents/?uuid=826487b2-2a6a-42eb-9e2b-405e3c285f32"]}],"mendeley":{"formattedCitation":"(Chen et al., 2021; Sánchez-Sánchez et al., 2018; Wu et al., 2020)","plainTextFormattedCitation":"(Chen et al., 2021; Sánchez-Sánchez et al., 2018; Wu et al., 2020)","previouslyFormattedCitation":"(Chen et al., 2021; Sánchez-Sánchez et al., 2018; Wu et al., 2020)"},"properties":{"noteIndex":0},"schema":"https://github.com/citation-style-language/schema/raw/master/csl-citation.json"}</w:instrText>
      </w:r>
      <w:r w:rsidR="00B57377" w:rsidRPr="00B57377">
        <w:rPr>
          <w:b w:val="0"/>
        </w:rPr>
        <w:fldChar w:fldCharType="separate"/>
      </w:r>
      <w:r w:rsidR="00B57377" w:rsidRPr="00B57377">
        <w:rPr>
          <w:b w:val="0"/>
          <w:noProof/>
        </w:rPr>
        <w:t>(Chen et al., 2021; Sánchez-Sánchez et al., 2018; Wu et al., 2020)</w:t>
      </w:r>
      <w:r w:rsidR="00B57377" w:rsidRPr="00B57377">
        <w:rPr>
          <w:b w:val="0"/>
        </w:rPr>
        <w:fldChar w:fldCharType="end"/>
      </w:r>
      <w:r>
        <w:rPr>
          <w:b w:val="0"/>
        </w:rPr>
        <w:t>.</w:t>
      </w:r>
    </w:p>
    <w:p w14:paraId="7A4339E2" w14:textId="6A45F2C5" w:rsidR="00B57377" w:rsidRPr="00B57377" w:rsidRDefault="00B57377" w:rsidP="00B57377">
      <w:pPr>
        <w:pStyle w:val="Paragrafoprincipale"/>
        <w:numPr>
          <w:ilvl w:val="0"/>
          <w:numId w:val="0"/>
        </w:numPr>
        <w:spacing w:before="0" w:after="0"/>
        <w:ind w:firstLine="284"/>
        <w:rPr>
          <w:b w:val="0"/>
        </w:rPr>
      </w:pPr>
      <w:r w:rsidRPr="00B57377">
        <w:rPr>
          <w:b w:val="0"/>
        </w:rPr>
        <w:t xml:space="preserve">Char is generally considered a low-cost adsorbent material for treating gaseous effluents, although char composition and quality strongly </w:t>
      </w:r>
      <w:r w:rsidR="00EA791F">
        <w:rPr>
          <w:b w:val="0"/>
        </w:rPr>
        <w:t xml:space="preserve">vary </w:t>
      </w:r>
      <w:r w:rsidRPr="00B57377">
        <w:rPr>
          <w:b w:val="0"/>
        </w:rPr>
        <w:t xml:space="preserve">depending on the starting material and process conditions </w:t>
      </w:r>
      <w:r w:rsidRPr="00B57377">
        <w:rPr>
          <w:b w:val="0"/>
        </w:rPr>
        <w:fldChar w:fldCharType="begin" w:fldLock="1"/>
      </w:r>
      <w:r w:rsidR="00D77045">
        <w:rPr>
          <w:b w:val="0"/>
        </w:rPr>
        <w:instrText>ADDIN CSL_CITATION {"citationItems":[{"id":"ITEM-1","itemData":{"DOI":"10.5772/intechopen.88204","abstract":"Organic matter derived from plants and animals are known as biomass. It has a great potential to be used as an alternate source of energy by employing ther- mochemical conversion techniques. Among the available techniques, pyrolysis is considered to be the most efficient technique used for the conversion of biomass- based waste into value-added solid, liquid and gaseous products through heating in an oxygen-limited environment. Biochar (solid fuel) is a carbonaceous material and has multiple applications in various fields such as soil health, climate stability, water resource, energy efficiency and conservation. The yield of biochar depends on organic constituents of biomass and the pyrolytic process parameters such as temperature, time, heating rate, purging gas, particle size, catalyst, flow rate, pressure and types of pyrolysis reactors. Suitable conditions for biochar produc- tion were observed to be slow pyrolysis, low carrier gas flow rate, acid-catalysed biomass or biomass mixed with some inorganic salts, low heating rate, large particle size, high pressure, longer residence time, low temperature, feedstocks with high lignin content and pyrolysis reactors with lower bed height. Thermal conversion of biomass could be a possible sustainable alternative to provide economically viable, clean and eco-friendly solid fuel.","author":[{"dropping-particle":"","family":"Yadav","given":"Krishna","non-dropping-particle":"","parse-names":false,"suffix":""},{"dropping-particle":"","family":"Jagadevan","given":"Sheeja","non-dropping-particle":"","parse-names":false,"suffix":""}],"container-title":"Recent Advances in Pyrolysis","id":"ITEM-1","issued":{"date-parts":[["2020","1"]]},"publisher":"IntechOpen","title":"Influence of Process Parameters on Synthesis of Biochar by Pyrolysis of Biomass: An Alternative Source of Energy","type":"chapter"},"uris":["http://www.mendeley.com/documents/?uuid=7fa8d88a-defb-3554-926d-94376141d2be","http://www.mendeley.com/documents/?uuid=cafa4e73-75cb-4124-b59a-e249ca85c29d"]}],"mendeley":{"formattedCitation":"(Yadav &amp; Jagadevan, 2020)","plainTextFormattedCitation":"(Yadav &amp; Jagadevan, 2020)","previouslyFormattedCitation":"(Yadav &amp; Jagadevan, 2020)"},"properties":{"noteIndex":0},"schema":"https://github.com/citation-style-language/schema/raw/master/csl-citation.json"}</w:instrText>
      </w:r>
      <w:r w:rsidRPr="00B57377">
        <w:rPr>
          <w:b w:val="0"/>
        </w:rPr>
        <w:fldChar w:fldCharType="separate"/>
      </w:r>
      <w:r w:rsidRPr="00B57377">
        <w:rPr>
          <w:b w:val="0"/>
          <w:noProof/>
        </w:rPr>
        <w:t>(Yadav &amp; Jagadevan, 2020)</w:t>
      </w:r>
      <w:r w:rsidRPr="00B57377">
        <w:rPr>
          <w:b w:val="0"/>
        </w:rPr>
        <w:fldChar w:fldCharType="end"/>
      </w:r>
      <w:r w:rsidRPr="00B57377">
        <w:rPr>
          <w:b w:val="0"/>
        </w:rPr>
        <w:t xml:space="preserve">. Despite the lower surface area </w:t>
      </w:r>
      <w:r w:rsidR="00EA791F">
        <w:rPr>
          <w:b w:val="0"/>
        </w:rPr>
        <w:t xml:space="preserve">of </w:t>
      </w:r>
      <w:r w:rsidRPr="00B57377">
        <w:rPr>
          <w:b w:val="0"/>
        </w:rPr>
        <w:t>char produced from biomass waste</w:t>
      </w:r>
      <w:r w:rsidR="00EA791F">
        <w:rPr>
          <w:b w:val="0"/>
        </w:rPr>
        <w:t>s</w:t>
      </w:r>
      <w:r w:rsidRPr="00B57377">
        <w:rPr>
          <w:b w:val="0"/>
        </w:rPr>
        <w:t xml:space="preserve"> compared to that of activated carbon, several studies on CO</w:t>
      </w:r>
      <w:r w:rsidRPr="00B57377">
        <w:rPr>
          <w:b w:val="0"/>
          <w:vertAlign w:val="subscript"/>
        </w:rPr>
        <w:t xml:space="preserve">2 </w:t>
      </w:r>
      <w:r w:rsidRPr="00B57377">
        <w:rPr>
          <w:b w:val="0"/>
        </w:rPr>
        <w:t>removal from biogas have shown that char obtained from biomass waste</w:t>
      </w:r>
      <w:r w:rsidR="00EA791F">
        <w:rPr>
          <w:b w:val="0"/>
        </w:rPr>
        <w:t>s</w:t>
      </w:r>
      <w:r w:rsidRPr="00B57377">
        <w:rPr>
          <w:b w:val="0"/>
        </w:rPr>
        <w:t xml:space="preserve">, without any activation step, can be an effective adsorbent. However, there is little information in the literature regarding the properties of chars produced via pyrolysis of digested manure and MBM. Both, digested manure and MBM, are rich-protein animal wastes and the resulting </w:t>
      </w:r>
      <w:r w:rsidR="00EA791F">
        <w:rPr>
          <w:b w:val="0"/>
        </w:rPr>
        <w:t>char</w:t>
      </w:r>
      <w:r w:rsidR="00871405">
        <w:rPr>
          <w:b w:val="0"/>
        </w:rPr>
        <w:t>s</w:t>
      </w:r>
      <w:r w:rsidR="00EA791F">
        <w:rPr>
          <w:b w:val="0"/>
        </w:rPr>
        <w:t xml:space="preserve"> will be specially characterized by high</w:t>
      </w:r>
      <w:r w:rsidRPr="00B57377">
        <w:rPr>
          <w:b w:val="0"/>
        </w:rPr>
        <w:t xml:space="preserve"> nitrogen content. This could make these materials very suitable for CO</w:t>
      </w:r>
      <w:r w:rsidRPr="00B57377">
        <w:rPr>
          <w:b w:val="0"/>
          <w:vertAlign w:val="subscript"/>
        </w:rPr>
        <w:t>2</w:t>
      </w:r>
      <w:r w:rsidRPr="00B57377">
        <w:rPr>
          <w:b w:val="0"/>
        </w:rPr>
        <w:t xml:space="preserve"> adsorption. </w:t>
      </w:r>
      <w:r w:rsidR="00871405">
        <w:rPr>
          <w:b w:val="0"/>
        </w:rPr>
        <w:t>Previous r</w:t>
      </w:r>
      <w:r w:rsidRPr="00B57377">
        <w:rPr>
          <w:b w:val="0"/>
        </w:rPr>
        <w:t>esearch</w:t>
      </w:r>
      <w:r w:rsidR="00871405">
        <w:rPr>
          <w:b w:val="0"/>
        </w:rPr>
        <w:t xml:space="preserve"> work </w:t>
      </w:r>
      <w:r w:rsidRPr="00B57377">
        <w:rPr>
          <w:b w:val="0"/>
        </w:rPr>
        <w:t xml:space="preserve">have observed that nitrogen, specifically in form of </w:t>
      </w:r>
      <w:proofErr w:type="spellStart"/>
      <w:r w:rsidRPr="00B57377">
        <w:rPr>
          <w:b w:val="0"/>
        </w:rPr>
        <w:t>pyrrolic</w:t>
      </w:r>
      <w:proofErr w:type="spellEnd"/>
      <w:r w:rsidRPr="00B57377">
        <w:rPr>
          <w:b w:val="0"/>
        </w:rPr>
        <w:t xml:space="preserve"> nitrogen, acts as active adsorption sites with a high affinity for CO</w:t>
      </w:r>
      <w:r w:rsidRPr="00B57377">
        <w:rPr>
          <w:b w:val="0"/>
          <w:vertAlign w:val="subscript"/>
        </w:rPr>
        <w:t>2</w:t>
      </w:r>
      <w:r w:rsidRPr="00B57377">
        <w:rPr>
          <w:b w:val="0"/>
        </w:rPr>
        <w:t xml:space="preserve"> adsorption </w:t>
      </w:r>
      <w:r w:rsidR="00B561D5">
        <w:rPr>
          <w:b w:val="0"/>
        </w:rPr>
        <w:fldChar w:fldCharType="begin" w:fldLock="1"/>
      </w:r>
      <w:r w:rsidR="00B561D5">
        <w:rPr>
          <w:b w:val="0"/>
        </w:rPr>
        <w:instrText>ADDIN CSL_CITATION {"citationItems":[{"id":"ITEM-1","itemData":{"DOI":"10.1016/j.biortech.2019.122286","ISSN":"18732976","PMID":"31690478","abstract":"Biochar is a carbonaceous material produced by thermal treatment, e.g., pyrolysis, of biomass in oxygen-deficient or oxygen-free environment. Nitrogen containing functional groups of biochar have a wide range of applications, such as adsorption of pollutants, catalysis, and energy storage. To date, many methods have been developed and used to strengthen the function of N-containing biochar to promote its application and commercialization. However, there is no review available specifically on the development of biochar technologies concerning nitrogen-containing functional groups. This paper aims to present a review on fractionation, analysis, formation, engineering, and application of N-functional groups of biochar. The effect of influencing factors on biochar N-functional groups, including biomass feedstock, pyrolysis parameters (e.g., temperature), and additional treatment (e.g., N-doping) were discussed in detail to reveal the formation mechanisms and performance of the N-functional groups. Future prospective investigation directions on the analysis and engineering of biochar N-functional groups were also proposed.","author":[{"dropping-particle":"","family":"Leng","given":"Lijian","non-dropping-particle":"","parse-names":false,"suffix":""},{"dropping-particle":"","family":"Xu","given":"Siyu","non-dropping-particle":"","parse-names":false,"suffix":""},{"dropping-particle":"","family":"Liu","given":"Renfeng","non-dropping-particle":"","parse-names":false,"suffix":""},{"dropping-particle":"","family":"Yu","given":"Ting","non-dropping-particle":"","parse-names":false,"suffix":""},{"dropping-particle":"","family":"Zhuo","given":"Ximeng","non-dropping-particle":"","parse-names":false,"suffix":""},{"dropping-particle":"","family":"Leng","given":"Songqi","non-dropping-particle":"","parse-names":false,"suffix":""},{"dropping-particle":"","family":"Xiong","given":"Qin","non-dropping-particle":"","parse-names":false,"suffix":""},{"dropping-particle":"","family":"Huang","given":"Huajun","non-dropping-particle":"","parse-names":false,"suffix":""}],"container-title":"Bioresource Technology","id":"ITEM-1","issued":{"date-parts":[["2019"]]},"publisher":"Elsevier Ltd","title":"Nitrogen containing functional groups of biochar: An overview","type":"article-journal","volume":"298"},"uris":["http://www.mendeley.com/documents/?uuid=0c27a9a5-d836-3281-bda7-937b07750bdc"]},{"id":"ITEM-2","itemData":{"DOI":"10.1021/ef400499k","ISSN":"08870624","abstract":"Amino/nitro groups were introduced onto the surface of the activated carbon (AC) with nitration followed by reduction in order to improve its adsorption capacity toward CO2. These AC samples were characterized by N 2 adsorption/desorption, FTIR, and X-ray photoelectron spectroscopy (XPS). CO2 adsorption properties of the samples were investigated using a self-regulating high-pressure adsorption apparatus. Results showed that the contents of nitrogen on the treated samples' surface increased from 0% to 1.38 after modification. The maximum CO2 adsorption capacity of the modified samples can reach 19.07 mmol/g at 298 K and 36.0 bar. The adsorbed amounts of CO2 on all samples decreased with an increase in the adsorption temperature, but the extent of the decrease with the modified samples was less than that of the raw AC sample. CO2 adsorption capacities of the modified sample for five cyclic adsorption-desorption runs were found to be nearly identical. © 2013 American Chemical Society.","author":[{"dropping-particle":"","family":"Zhang","given":"Changming","non-dropping-particle":"","parse-names":false,"suffix":""},{"dropping-particle":"","family":"Song","given":"Wen","non-dropping-particle":"","parse-names":false,"suffix":""},{"dropping-particle":"","family":"Sun","given":"Guohua","non-dropping-particle":"","parse-names":false,"suffix":""},{"dropping-particle":"","family":"Xie","given":"Lijing","non-dropping-particle":"","parse-names":false,"suffix":""},{"dropping-particle":"","family":"Wang","given":"Jianlong","non-dropping-particle":"","parse-names":false,"suffix":""},{"dropping-particle":"","family":"Li","given":"Kaixi","non-dropping-particle":"","parse-names":false,"suffix":""},{"dropping-particle":"","family":"Sun","given":"Chenggong","non-dropping-particle":"","parse-names":false,"suffix":""},{"dropping-particle":"","family":"Liu","given":"Hao","non-dropping-particle":"","parse-names":false,"suffix":""},{"dropping-particle":"","family":"Snape","given":"Colin E.","non-dropping-particle":"","parse-names":false,"suffix":""},{"dropping-particle":"","family":"Drage","given":"Trevor","non-dropping-particle":"","parse-names":false,"suffix":""}],"container-title":"Energy and Fuels","id":"ITEM-2","issue":"8","issued":{"date-parts":[["2013","8","15"]]},"page":"4818-4823","publisher":"American Chemical Society","title":"CO2 capture with activated carbon grafted by nitrogenous functional groups","type":"article-journal","volume":"27"},"uris":["http://www.mendeley.com/documents/?uuid=c45ef361-a86a-3e41-9a2f-fdbfe69f8f23"]}],"mendeley":{"formattedCitation":"(Leng et al., 2019; Zhang et al., 2013)","plainTextFormattedCitation":"(Leng et al., 2019; Zhang et al., 2013)","previouslyFormattedCitation":"(Leng et al., 2019; Zhang et al., 2013)"},"properties":{"noteIndex":0},"schema":"https://github.com/citation-style-language/schema/raw/master/csl-citation.json"}</w:instrText>
      </w:r>
      <w:r w:rsidR="00B561D5">
        <w:rPr>
          <w:b w:val="0"/>
        </w:rPr>
        <w:fldChar w:fldCharType="separate"/>
      </w:r>
      <w:r w:rsidR="00B561D5" w:rsidRPr="00B561D5">
        <w:rPr>
          <w:b w:val="0"/>
          <w:noProof/>
        </w:rPr>
        <w:t>(Leng et al., 2019; Zhang et al., 2013)</w:t>
      </w:r>
      <w:r w:rsidR="00B561D5">
        <w:rPr>
          <w:b w:val="0"/>
        </w:rPr>
        <w:fldChar w:fldCharType="end"/>
      </w:r>
      <w:r w:rsidRPr="00B57377">
        <w:rPr>
          <w:b w:val="0"/>
        </w:rPr>
        <w:t>.</w:t>
      </w:r>
    </w:p>
    <w:p w14:paraId="00107FE7" w14:textId="36A6948D" w:rsidR="00B57377" w:rsidRPr="00B57377" w:rsidRDefault="00B57377" w:rsidP="00B57377">
      <w:pPr>
        <w:pStyle w:val="Paragrafoprincipale"/>
        <w:numPr>
          <w:ilvl w:val="0"/>
          <w:numId w:val="0"/>
        </w:numPr>
        <w:spacing w:before="0" w:after="0"/>
        <w:ind w:firstLine="284"/>
        <w:rPr>
          <w:b w:val="0"/>
        </w:rPr>
      </w:pPr>
      <w:bookmarkStart w:id="0" w:name="_heading=h.gjdgxs" w:colFirst="0" w:colLast="0"/>
      <w:bookmarkEnd w:id="0"/>
      <w:r w:rsidRPr="00B57377">
        <w:rPr>
          <w:b w:val="0"/>
        </w:rPr>
        <w:t xml:space="preserve">The composition of </w:t>
      </w:r>
      <w:r w:rsidR="00EA791F">
        <w:rPr>
          <w:b w:val="0"/>
        </w:rPr>
        <w:t xml:space="preserve">the </w:t>
      </w:r>
      <w:r w:rsidRPr="00B57377">
        <w:rPr>
          <w:b w:val="0"/>
        </w:rPr>
        <w:t xml:space="preserve">animal wastes </w:t>
      </w:r>
      <w:r w:rsidR="00EA791F">
        <w:rPr>
          <w:b w:val="0"/>
        </w:rPr>
        <w:t xml:space="preserve">will </w:t>
      </w:r>
      <w:r w:rsidRPr="00B57377">
        <w:rPr>
          <w:b w:val="0"/>
        </w:rPr>
        <w:t>influence the morphological structure and the surface chemistry of the char obtained</w:t>
      </w:r>
      <w:r w:rsidR="00EA791F">
        <w:rPr>
          <w:b w:val="0"/>
        </w:rPr>
        <w:t xml:space="preserve"> so,</w:t>
      </w:r>
      <w:r w:rsidRPr="00B57377">
        <w:rPr>
          <w:b w:val="0"/>
        </w:rPr>
        <w:t xml:space="preserve"> </w:t>
      </w:r>
      <w:r w:rsidR="00EA791F">
        <w:rPr>
          <w:b w:val="0"/>
        </w:rPr>
        <w:t>due to the variability in this composition, th</w:t>
      </w:r>
      <w:r w:rsidRPr="00B57377">
        <w:rPr>
          <w:b w:val="0"/>
        </w:rPr>
        <w:t xml:space="preserve">e experimental results </w:t>
      </w:r>
      <w:r w:rsidR="00871405">
        <w:rPr>
          <w:b w:val="0"/>
        </w:rPr>
        <w:t>for</w:t>
      </w:r>
      <w:r w:rsidRPr="00B57377">
        <w:rPr>
          <w:b w:val="0"/>
        </w:rPr>
        <w:t xml:space="preserve"> adsorption capacit</w:t>
      </w:r>
      <w:r w:rsidR="00871405">
        <w:rPr>
          <w:b w:val="0"/>
        </w:rPr>
        <w:t>ies</w:t>
      </w:r>
      <w:r w:rsidRPr="00B57377">
        <w:rPr>
          <w:b w:val="0"/>
        </w:rPr>
        <w:t xml:space="preserve"> </w:t>
      </w:r>
      <w:r w:rsidR="00871405">
        <w:rPr>
          <w:b w:val="0"/>
        </w:rPr>
        <w:t xml:space="preserve">of chars </w:t>
      </w:r>
      <w:r w:rsidRPr="00B57377">
        <w:rPr>
          <w:b w:val="0"/>
        </w:rPr>
        <w:t xml:space="preserve">obtained </w:t>
      </w:r>
      <w:r w:rsidR="00871405">
        <w:rPr>
          <w:b w:val="0"/>
        </w:rPr>
        <w:t>from specific</w:t>
      </w:r>
      <w:r w:rsidRPr="00B57377">
        <w:rPr>
          <w:b w:val="0"/>
        </w:rPr>
        <w:t xml:space="preserve"> animal waste</w:t>
      </w:r>
      <w:r w:rsidR="00871405">
        <w:rPr>
          <w:b w:val="0"/>
        </w:rPr>
        <w:t>s</w:t>
      </w:r>
      <w:r w:rsidRPr="00B57377">
        <w:rPr>
          <w:b w:val="0"/>
        </w:rPr>
        <w:t xml:space="preserve"> cannot be </w:t>
      </w:r>
      <w:r w:rsidR="00EA791F">
        <w:rPr>
          <w:b w:val="0"/>
        </w:rPr>
        <w:t>extrapolate</w:t>
      </w:r>
      <w:r w:rsidRPr="00B57377">
        <w:rPr>
          <w:b w:val="0"/>
        </w:rPr>
        <w:t xml:space="preserve"> to </w:t>
      </w:r>
      <w:r w:rsidR="00EA791F">
        <w:rPr>
          <w:b w:val="0"/>
        </w:rPr>
        <w:t>other waste</w:t>
      </w:r>
      <w:r w:rsidR="00871405">
        <w:rPr>
          <w:b w:val="0"/>
        </w:rPr>
        <w:t>s</w:t>
      </w:r>
      <w:r w:rsidRPr="00B57377">
        <w:rPr>
          <w:b w:val="0"/>
        </w:rPr>
        <w:t>. This calls for the need to develop a more thorough understanding of the CO</w:t>
      </w:r>
      <w:r w:rsidRPr="00B57377">
        <w:rPr>
          <w:b w:val="0"/>
          <w:vertAlign w:val="subscript"/>
        </w:rPr>
        <w:t>2</w:t>
      </w:r>
      <w:r w:rsidRPr="00B57377">
        <w:rPr>
          <w:b w:val="0"/>
        </w:rPr>
        <w:t xml:space="preserve"> removal process using char from animal wastes. In this context, a study of the CO</w:t>
      </w:r>
      <w:r w:rsidRPr="00B57377">
        <w:rPr>
          <w:b w:val="0"/>
          <w:vertAlign w:val="subscript"/>
        </w:rPr>
        <w:t>2</w:t>
      </w:r>
      <w:r w:rsidRPr="00B57377">
        <w:rPr>
          <w:b w:val="0"/>
        </w:rPr>
        <w:t xml:space="preserve"> adsorption capacity of chars generated from the main macro-components of </w:t>
      </w:r>
      <w:r w:rsidR="00EA791F">
        <w:rPr>
          <w:b w:val="0"/>
        </w:rPr>
        <w:t>animal wastes should be helpful to understand individual influences</w:t>
      </w:r>
      <w:r w:rsidRPr="00B57377">
        <w:rPr>
          <w:b w:val="0"/>
        </w:rPr>
        <w:t>. Such a study needs to include chars produced from protein</w:t>
      </w:r>
      <w:r w:rsidR="00485250">
        <w:rPr>
          <w:b w:val="0"/>
        </w:rPr>
        <w:t>s</w:t>
      </w:r>
      <w:r w:rsidRPr="00B57377">
        <w:rPr>
          <w:b w:val="0"/>
        </w:rPr>
        <w:t>, one of the maj</w:t>
      </w:r>
      <w:r w:rsidR="00EA791F">
        <w:rPr>
          <w:b w:val="0"/>
        </w:rPr>
        <w:t>or com</w:t>
      </w:r>
      <w:r w:rsidR="00871405">
        <w:rPr>
          <w:b w:val="0"/>
        </w:rPr>
        <w:t>ponents of animal wastes, which</w:t>
      </w:r>
      <w:r w:rsidR="00EA791F">
        <w:rPr>
          <w:b w:val="0"/>
        </w:rPr>
        <w:t xml:space="preserve"> </w:t>
      </w:r>
      <w:r w:rsidRPr="00B57377">
        <w:rPr>
          <w:b w:val="0"/>
        </w:rPr>
        <w:t xml:space="preserve">distinguishes this type of waste material from </w:t>
      </w:r>
      <w:r w:rsidR="00485250">
        <w:rPr>
          <w:b w:val="0"/>
        </w:rPr>
        <w:t xml:space="preserve">other </w:t>
      </w:r>
      <w:r w:rsidRPr="00B57377">
        <w:rPr>
          <w:b w:val="0"/>
        </w:rPr>
        <w:t xml:space="preserve">more commonly studied lignocellulosic residues. When comparing MBM and </w:t>
      </w:r>
      <w:r w:rsidR="00485250">
        <w:rPr>
          <w:b w:val="0"/>
        </w:rPr>
        <w:t xml:space="preserve">digested </w:t>
      </w:r>
      <w:r w:rsidRPr="00B57377">
        <w:rPr>
          <w:b w:val="0"/>
        </w:rPr>
        <w:t xml:space="preserve">manure, the differences between the proteins present in them should also </w:t>
      </w:r>
      <w:proofErr w:type="gramStart"/>
      <w:r w:rsidRPr="00B57377">
        <w:rPr>
          <w:b w:val="0"/>
        </w:rPr>
        <w:t>be</w:t>
      </w:r>
      <w:proofErr w:type="gramEnd"/>
      <w:r w:rsidRPr="00B57377">
        <w:rPr>
          <w:b w:val="0"/>
        </w:rPr>
        <w:t xml:space="preserve"> considered. Thus, collagen, an animal protein, is the major constituent of MBM and soybean protein is a plant-based protein that could be considered a</w:t>
      </w:r>
      <w:r w:rsidR="00485250">
        <w:rPr>
          <w:b w:val="0"/>
        </w:rPr>
        <w:t>s a</w:t>
      </w:r>
      <w:r w:rsidRPr="00B57377">
        <w:rPr>
          <w:b w:val="0"/>
        </w:rPr>
        <w:t xml:space="preserve"> representative </w:t>
      </w:r>
      <w:r w:rsidR="00485250">
        <w:rPr>
          <w:b w:val="0"/>
        </w:rPr>
        <w:t>protein</w:t>
      </w:r>
      <w:r w:rsidRPr="00B57377">
        <w:rPr>
          <w:b w:val="0"/>
        </w:rPr>
        <w:t xml:space="preserve"> found in digested manure.</w:t>
      </w:r>
    </w:p>
    <w:p w14:paraId="14076A82" w14:textId="5B8EA823" w:rsidR="00B57377" w:rsidRPr="00B57377" w:rsidRDefault="00B57377" w:rsidP="00B57377">
      <w:pPr>
        <w:pStyle w:val="Paragrafoprincipale"/>
        <w:numPr>
          <w:ilvl w:val="0"/>
          <w:numId w:val="0"/>
        </w:numPr>
        <w:spacing w:before="0" w:after="0"/>
        <w:ind w:firstLine="284"/>
        <w:rPr>
          <w:b w:val="0"/>
        </w:rPr>
      </w:pPr>
      <w:r w:rsidRPr="00B57377">
        <w:rPr>
          <w:b w:val="0"/>
        </w:rPr>
        <w:t>In the current study, the CO</w:t>
      </w:r>
      <w:r w:rsidRPr="00B57377">
        <w:rPr>
          <w:b w:val="0"/>
          <w:vertAlign w:val="subscript"/>
        </w:rPr>
        <w:t>2</w:t>
      </w:r>
      <w:r w:rsidRPr="00B57377">
        <w:rPr>
          <w:b w:val="0"/>
        </w:rPr>
        <w:t xml:space="preserve"> adsorption </w:t>
      </w:r>
      <w:r w:rsidR="00485250">
        <w:rPr>
          <w:b w:val="0"/>
        </w:rPr>
        <w:t xml:space="preserve">capacities </w:t>
      </w:r>
      <w:r w:rsidRPr="00B57377">
        <w:rPr>
          <w:b w:val="0"/>
        </w:rPr>
        <w:t xml:space="preserve">of chars prepared by pyrolysis of two animal wastes, digested manure and MBM, and two types of proteins, collagen and soybean protein, were </w:t>
      </w:r>
      <w:r w:rsidRPr="00B57377">
        <w:rPr>
          <w:b w:val="0"/>
        </w:rPr>
        <w:lastRenderedPageBreak/>
        <w:t xml:space="preserve">investigated at room temperature and the results were compared. </w:t>
      </w:r>
      <w:r w:rsidRPr="00C93FC4">
        <w:rPr>
          <w:b w:val="0"/>
        </w:rPr>
        <w:t xml:space="preserve">Specific </w:t>
      </w:r>
      <w:proofErr w:type="spellStart"/>
      <w:r w:rsidRPr="00C93FC4">
        <w:rPr>
          <w:b w:val="0"/>
        </w:rPr>
        <w:t>objetives</w:t>
      </w:r>
      <w:proofErr w:type="spellEnd"/>
      <w:r w:rsidRPr="00C93FC4">
        <w:rPr>
          <w:b w:val="0"/>
        </w:rPr>
        <w:t xml:space="preserve"> of this work were to (1) determine CO</w:t>
      </w:r>
      <w:r w:rsidRPr="00C93FC4">
        <w:rPr>
          <w:b w:val="0"/>
          <w:vertAlign w:val="subscript"/>
        </w:rPr>
        <w:t>2</w:t>
      </w:r>
      <w:r w:rsidRPr="00C93FC4">
        <w:rPr>
          <w:b w:val="0"/>
        </w:rPr>
        <w:t xml:space="preserve"> isotherm </w:t>
      </w:r>
      <w:r w:rsidR="00871405">
        <w:rPr>
          <w:b w:val="0"/>
        </w:rPr>
        <w:t>for the</w:t>
      </w:r>
      <w:r w:rsidRPr="00C93FC4">
        <w:rPr>
          <w:b w:val="0"/>
        </w:rPr>
        <w:t xml:space="preserve"> chars at room temperature; (2) analy</w:t>
      </w:r>
      <w:r w:rsidR="00C93FC4" w:rsidRPr="00C93FC4">
        <w:rPr>
          <w:b w:val="0"/>
        </w:rPr>
        <w:t>z</w:t>
      </w:r>
      <w:r w:rsidRPr="00C93FC4">
        <w:rPr>
          <w:b w:val="0"/>
        </w:rPr>
        <w:t xml:space="preserve">e the effect of the </w:t>
      </w:r>
      <w:r w:rsidR="00485250">
        <w:rPr>
          <w:b w:val="0"/>
        </w:rPr>
        <w:t xml:space="preserve">raw material characteristics and </w:t>
      </w:r>
      <w:r w:rsidRPr="00C93FC4">
        <w:rPr>
          <w:b w:val="0"/>
        </w:rPr>
        <w:t xml:space="preserve">pyrolysis temperature on the </w:t>
      </w:r>
      <w:r w:rsidR="00485250">
        <w:rPr>
          <w:b w:val="0"/>
        </w:rPr>
        <w:t>CO</w:t>
      </w:r>
      <w:r w:rsidR="00485250" w:rsidRPr="00485250">
        <w:rPr>
          <w:b w:val="0"/>
          <w:vertAlign w:val="subscript"/>
        </w:rPr>
        <w:t>2</w:t>
      </w:r>
      <w:r w:rsidR="00485250">
        <w:rPr>
          <w:b w:val="0"/>
        </w:rPr>
        <w:t xml:space="preserve"> adsorption capacity</w:t>
      </w:r>
      <w:r w:rsidRPr="00C93FC4">
        <w:rPr>
          <w:b w:val="0"/>
        </w:rPr>
        <w:t xml:space="preserve"> and (3) </w:t>
      </w:r>
      <w:r w:rsidR="00871405">
        <w:rPr>
          <w:b w:val="0"/>
        </w:rPr>
        <w:t>test</w:t>
      </w:r>
      <w:r w:rsidRPr="00C93FC4">
        <w:rPr>
          <w:b w:val="0"/>
        </w:rPr>
        <w:t xml:space="preserve"> the reversibility of CO</w:t>
      </w:r>
      <w:r w:rsidRPr="00C93FC4">
        <w:rPr>
          <w:b w:val="0"/>
          <w:vertAlign w:val="subscript"/>
        </w:rPr>
        <w:t>2</w:t>
      </w:r>
      <w:r w:rsidR="00485250">
        <w:rPr>
          <w:b w:val="0"/>
        </w:rPr>
        <w:t xml:space="preserve"> adsorption after regeneration at increased </w:t>
      </w:r>
      <w:r w:rsidRPr="00C93FC4">
        <w:rPr>
          <w:b w:val="0"/>
        </w:rPr>
        <w:t>temperature.</w:t>
      </w:r>
    </w:p>
    <w:p w14:paraId="6EFA675B" w14:textId="59DA7817" w:rsidR="0047067C" w:rsidRPr="00C9181F" w:rsidRDefault="00B57377" w:rsidP="000375B8">
      <w:pPr>
        <w:pStyle w:val="Paragrafoprincipale"/>
      </w:pPr>
      <w:r>
        <w:t>EXPERIMENTAL</w:t>
      </w:r>
    </w:p>
    <w:p w14:paraId="3D89DDA2" w14:textId="77777777" w:rsidR="00B57377" w:rsidRDefault="00B57377" w:rsidP="00B57377">
      <w:pPr>
        <w:pStyle w:val="Paragrafosecondario"/>
        <w:spacing w:before="120"/>
      </w:pPr>
      <w:r>
        <w:t>2.1 Char production</w:t>
      </w:r>
    </w:p>
    <w:p w14:paraId="6D0853BC" w14:textId="107549F1" w:rsidR="00B57377" w:rsidRPr="00B57377" w:rsidRDefault="00B57377" w:rsidP="00A84C45">
      <w:pPr>
        <w:pStyle w:val="Paragrafosecondario"/>
        <w:spacing w:before="0" w:after="0"/>
        <w:ind w:firstLine="284"/>
        <w:rPr>
          <w:b w:val="0"/>
        </w:rPr>
      </w:pPr>
      <w:r w:rsidRPr="00B57377">
        <w:rPr>
          <w:b w:val="0"/>
        </w:rPr>
        <w:t xml:space="preserve">Two </w:t>
      </w:r>
      <w:r w:rsidR="00871405">
        <w:rPr>
          <w:b w:val="0"/>
        </w:rPr>
        <w:t xml:space="preserve">protein-rich </w:t>
      </w:r>
      <w:r w:rsidRPr="00B57377">
        <w:rPr>
          <w:b w:val="0"/>
        </w:rPr>
        <w:t>animal wastes, co-digested manure (DM) and meat and bone meal (MBM), and two types of proteins, soybean protein (SP) and collagen (C), were used as feedst</w:t>
      </w:r>
      <w:r w:rsidR="004A4B52">
        <w:rPr>
          <w:b w:val="0"/>
        </w:rPr>
        <w:t xml:space="preserve">ock for char production. The DM, </w:t>
      </w:r>
      <w:r w:rsidRPr="00B57377">
        <w:rPr>
          <w:b w:val="0"/>
        </w:rPr>
        <w:t>supplied by</w:t>
      </w:r>
      <w:r w:rsidR="004A4B52">
        <w:rPr>
          <w:b w:val="0"/>
        </w:rPr>
        <w:t xml:space="preserve"> the HTN biogas company (Spain), </w:t>
      </w:r>
      <w:r w:rsidR="00871405">
        <w:rPr>
          <w:b w:val="0"/>
        </w:rPr>
        <w:t>contains</w:t>
      </w:r>
      <w:r w:rsidRPr="00B57377">
        <w:rPr>
          <w:b w:val="0"/>
        </w:rPr>
        <w:t xml:space="preserve"> co-digest</w:t>
      </w:r>
      <w:r w:rsidR="00696206">
        <w:rPr>
          <w:b w:val="0"/>
        </w:rPr>
        <w:t xml:space="preserve">ed </w:t>
      </w:r>
      <w:r w:rsidRPr="00B57377">
        <w:rPr>
          <w:b w:val="0"/>
        </w:rPr>
        <w:t xml:space="preserve">cattle manure and agro-industry residues. The </w:t>
      </w:r>
      <w:r w:rsidR="00696206">
        <w:rPr>
          <w:b w:val="0"/>
        </w:rPr>
        <w:t>material</w:t>
      </w:r>
      <w:r w:rsidRPr="00B57377">
        <w:rPr>
          <w:b w:val="0"/>
        </w:rPr>
        <w:t xml:space="preserve"> wa</w:t>
      </w:r>
      <w:r w:rsidR="00696206">
        <w:rPr>
          <w:b w:val="0"/>
        </w:rPr>
        <w:t>s oven-</w:t>
      </w:r>
      <w:r w:rsidRPr="00B57377">
        <w:rPr>
          <w:b w:val="0"/>
        </w:rPr>
        <w:t xml:space="preserve">dried after receiving and stored. The MBM was supplied by the </w:t>
      </w:r>
      <w:r w:rsidR="004A4B52">
        <w:rPr>
          <w:b w:val="0"/>
        </w:rPr>
        <w:t>S</w:t>
      </w:r>
      <w:r w:rsidRPr="00B57377">
        <w:rPr>
          <w:b w:val="0"/>
        </w:rPr>
        <w:t xml:space="preserve">panish company </w:t>
      </w:r>
      <w:proofErr w:type="spellStart"/>
      <w:r w:rsidRPr="00B57377">
        <w:rPr>
          <w:b w:val="0"/>
        </w:rPr>
        <w:t>Residuos</w:t>
      </w:r>
      <w:proofErr w:type="spellEnd"/>
      <w:r w:rsidRPr="00B57377">
        <w:rPr>
          <w:b w:val="0"/>
        </w:rPr>
        <w:t xml:space="preserve"> Aragón S.A. </w:t>
      </w:r>
      <w:r w:rsidR="004A4B52">
        <w:rPr>
          <w:b w:val="0"/>
        </w:rPr>
        <w:t>once</w:t>
      </w:r>
      <w:r w:rsidRPr="00B57377">
        <w:rPr>
          <w:b w:val="0"/>
        </w:rPr>
        <w:t xml:space="preserve"> the prion that provokes the Bovine Spongiform Encephalopathy</w:t>
      </w:r>
      <w:r w:rsidR="004A4B52">
        <w:rPr>
          <w:b w:val="0"/>
        </w:rPr>
        <w:t xml:space="preserve"> had been destroyed. </w:t>
      </w:r>
      <w:r w:rsidR="00A84C45">
        <w:rPr>
          <w:b w:val="0"/>
        </w:rPr>
        <w:t xml:space="preserve">The two proteins, </w:t>
      </w:r>
      <w:r w:rsidRPr="00B57377">
        <w:rPr>
          <w:b w:val="0"/>
        </w:rPr>
        <w:t>SP and C</w:t>
      </w:r>
      <w:r w:rsidR="00A84C45">
        <w:rPr>
          <w:b w:val="0"/>
        </w:rPr>
        <w:t>,</w:t>
      </w:r>
      <w:r w:rsidRPr="00B57377">
        <w:rPr>
          <w:b w:val="0"/>
        </w:rPr>
        <w:t xml:space="preserve"> were </w:t>
      </w:r>
      <w:r w:rsidR="00A84C45">
        <w:rPr>
          <w:b w:val="0"/>
        </w:rPr>
        <w:t xml:space="preserve">commercial products </w:t>
      </w:r>
      <w:r w:rsidRPr="00B57377">
        <w:rPr>
          <w:b w:val="0"/>
        </w:rPr>
        <w:t xml:space="preserve">acquired in a </w:t>
      </w:r>
      <w:r w:rsidR="00CA5D77">
        <w:rPr>
          <w:b w:val="0"/>
        </w:rPr>
        <w:t>drugstore</w:t>
      </w:r>
      <w:r w:rsidRPr="00B57377">
        <w:rPr>
          <w:b w:val="0"/>
        </w:rPr>
        <w:t>.</w:t>
      </w:r>
    </w:p>
    <w:p w14:paraId="0DFCD3BB" w14:textId="77777777" w:rsidR="000211DB" w:rsidRDefault="00B57377" w:rsidP="00B57377">
      <w:pPr>
        <w:pStyle w:val="Paragrafosecondario"/>
        <w:spacing w:before="0" w:after="0"/>
        <w:ind w:firstLine="284"/>
        <w:rPr>
          <w:b w:val="0"/>
        </w:rPr>
      </w:pPr>
      <w:r w:rsidRPr="00B57377">
        <w:rPr>
          <w:b w:val="0"/>
        </w:rPr>
        <w:t xml:space="preserve">The raw materials were </w:t>
      </w:r>
      <w:proofErr w:type="spellStart"/>
      <w:r w:rsidRPr="00B57377">
        <w:rPr>
          <w:b w:val="0"/>
        </w:rPr>
        <w:t>pyroly</w:t>
      </w:r>
      <w:r w:rsidR="004A4B52">
        <w:rPr>
          <w:b w:val="0"/>
        </w:rPr>
        <w:t>z</w:t>
      </w:r>
      <w:r w:rsidRPr="00B57377">
        <w:rPr>
          <w:b w:val="0"/>
        </w:rPr>
        <w:t>ed</w:t>
      </w:r>
      <w:proofErr w:type="spellEnd"/>
      <w:r w:rsidRPr="00B57377">
        <w:rPr>
          <w:b w:val="0"/>
        </w:rPr>
        <w:t xml:space="preserve"> in a fixed bed reactor of 2-3 g capacity in </w:t>
      </w:r>
      <w:r w:rsidRPr="0096405B">
        <w:rPr>
          <w:b w:val="0"/>
        </w:rPr>
        <w:t>N</w:t>
      </w:r>
      <w:r w:rsidRPr="004A4B52">
        <w:rPr>
          <w:b w:val="0"/>
          <w:vertAlign w:val="subscript"/>
        </w:rPr>
        <w:t>2</w:t>
      </w:r>
      <w:r w:rsidR="0096405B">
        <w:rPr>
          <w:b w:val="0"/>
        </w:rPr>
        <w:t xml:space="preserve"> atmosphere </w:t>
      </w:r>
      <w:proofErr w:type="gramStart"/>
      <w:r w:rsidR="0096405B">
        <w:rPr>
          <w:b w:val="0"/>
        </w:rPr>
        <w:t>(50 </w:t>
      </w:r>
      <w:proofErr w:type="spellStart"/>
      <w:r w:rsidR="0096405B">
        <w:rPr>
          <w:b w:val="0"/>
        </w:rPr>
        <w:t>mL</w:t>
      </w:r>
      <w:r w:rsidRPr="0096405B">
        <w:rPr>
          <w:b w:val="0"/>
          <w:vertAlign w:val="subscript"/>
        </w:rPr>
        <w:t>STP</w:t>
      </w:r>
      <w:proofErr w:type="spellEnd"/>
      <w:r w:rsidR="004245F6">
        <w:rPr>
          <w:b w:val="0"/>
        </w:rPr>
        <w:t>/</w:t>
      </w:r>
      <w:r w:rsidRPr="00B57377">
        <w:rPr>
          <w:b w:val="0"/>
        </w:rPr>
        <w:t>min)</w:t>
      </w:r>
      <w:proofErr w:type="gramEnd"/>
      <w:r w:rsidRPr="00B57377">
        <w:rPr>
          <w:b w:val="0"/>
        </w:rPr>
        <w:t xml:space="preserve"> at three different final temperatures (350, 550 and 750 ºC). A heating rate of</w:t>
      </w:r>
      <w:r w:rsidR="0096405B">
        <w:rPr>
          <w:b w:val="0"/>
        </w:rPr>
        <w:t xml:space="preserve"> </w:t>
      </w:r>
      <w:r w:rsidRPr="00B57377">
        <w:rPr>
          <w:b w:val="0"/>
        </w:rPr>
        <w:t>10</w:t>
      </w:r>
      <w:r w:rsidR="0096405B">
        <w:rPr>
          <w:b w:val="0"/>
        </w:rPr>
        <w:t> </w:t>
      </w:r>
      <w:r w:rsidRPr="00B57377">
        <w:rPr>
          <w:b w:val="0"/>
        </w:rPr>
        <w:t>ºC</w:t>
      </w:r>
      <w:r w:rsidR="004245F6">
        <w:rPr>
          <w:b w:val="0"/>
        </w:rPr>
        <w:t>/</w:t>
      </w:r>
      <w:r w:rsidRPr="00B57377">
        <w:rPr>
          <w:b w:val="0"/>
        </w:rPr>
        <w:t xml:space="preserve">min was applied and the final temperature was kept for about 60 min. All char samples were crushed and sieved (particle size </w:t>
      </w:r>
      <w:r w:rsidR="004A4B52">
        <w:rPr>
          <w:b w:val="0"/>
        </w:rPr>
        <w:t>0.025-</w:t>
      </w:r>
      <w:r w:rsidRPr="00B57377">
        <w:rPr>
          <w:b w:val="0"/>
        </w:rPr>
        <w:t>0.063</w:t>
      </w:r>
      <w:r w:rsidR="004A4B52">
        <w:rPr>
          <w:b w:val="0"/>
        </w:rPr>
        <w:t xml:space="preserve"> </w:t>
      </w:r>
      <w:r w:rsidRPr="00B57377">
        <w:rPr>
          <w:b w:val="0"/>
        </w:rPr>
        <w:t>mm)</w:t>
      </w:r>
      <w:r w:rsidR="004A4B52">
        <w:rPr>
          <w:b w:val="0"/>
        </w:rPr>
        <w:t xml:space="preserve"> before characterization</w:t>
      </w:r>
      <w:r w:rsidRPr="00B57377">
        <w:rPr>
          <w:b w:val="0"/>
        </w:rPr>
        <w:t xml:space="preserve">. More detailed information about the char production procedure has been reported in </w:t>
      </w:r>
      <w:r w:rsidR="000211DB" w:rsidRPr="000211DB">
        <w:rPr>
          <w:b w:val="0"/>
        </w:rPr>
        <w:t>the work “</w:t>
      </w:r>
      <w:r w:rsidR="000211DB" w:rsidRPr="000211DB">
        <w:rPr>
          <w:b w:val="0"/>
          <w:i/>
        </w:rPr>
        <w:t>Pyrolysis of two different kinds of proteins: collagen and soybean protein. Analysis of their contribution on the pyrolysis of rich protein animal wastes</w:t>
      </w:r>
      <w:r w:rsidR="000211DB" w:rsidRPr="000211DB">
        <w:rPr>
          <w:b w:val="0"/>
        </w:rPr>
        <w:t xml:space="preserve">”, which is also included in: </w:t>
      </w:r>
      <w:r w:rsidR="000211DB" w:rsidRPr="000211DB">
        <w:rPr>
          <w:b w:val="0"/>
          <w:i/>
        </w:rPr>
        <w:t>Proceedings of the 18th International Symposium on Waste Management and Sustainable Landfilling</w:t>
      </w:r>
      <w:r w:rsidR="000211DB" w:rsidRPr="000211DB">
        <w:rPr>
          <w:b w:val="0"/>
        </w:rPr>
        <w:t>.</w:t>
      </w:r>
      <w:r w:rsidR="000211DB">
        <w:rPr>
          <w:b w:val="0"/>
        </w:rPr>
        <w:t xml:space="preserve"> </w:t>
      </w:r>
    </w:p>
    <w:p w14:paraId="058B99DA" w14:textId="25656C1C" w:rsidR="00B57377" w:rsidRPr="00B57377" w:rsidRDefault="00696206" w:rsidP="00B57377">
      <w:pPr>
        <w:pStyle w:val="Paragrafosecondario"/>
        <w:spacing w:before="0" w:after="0"/>
        <w:ind w:firstLine="284"/>
        <w:rPr>
          <w:b w:val="0"/>
        </w:rPr>
      </w:pPr>
      <w:r>
        <w:rPr>
          <w:b w:val="0"/>
        </w:rPr>
        <w:t>In the following</w:t>
      </w:r>
      <w:r w:rsidR="00A84C45">
        <w:rPr>
          <w:b w:val="0"/>
        </w:rPr>
        <w:t>, the char samples (a total of 12</w:t>
      </w:r>
      <w:r w:rsidR="000211DB">
        <w:rPr>
          <w:b w:val="0"/>
        </w:rPr>
        <w:t xml:space="preserve"> samples</w:t>
      </w:r>
      <w:r w:rsidR="00A84C45">
        <w:rPr>
          <w:b w:val="0"/>
        </w:rPr>
        <w:t xml:space="preserve">) </w:t>
      </w:r>
      <w:r w:rsidR="00B57377" w:rsidRPr="00B57377">
        <w:rPr>
          <w:b w:val="0"/>
        </w:rPr>
        <w:t xml:space="preserve">are named as a combination of letters related to the raw material used (DM, MBM, SP and C) followed by a number indicating the final </w:t>
      </w:r>
      <w:r w:rsidR="00A84C45">
        <w:rPr>
          <w:b w:val="0"/>
        </w:rPr>
        <w:t xml:space="preserve">pyrolysis </w:t>
      </w:r>
      <w:r w:rsidR="00B57377" w:rsidRPr="00B57377">
        <w:rPr>
          <w:b w:val="0"/>
        </w:rPr>
        <w:t>temperature. For example, DM350 refers to the char prepared by pyrolysis of co-digested manure at 350 ºC.</w:t>
      </w:r>
    </w:p>
    <w:p w14:paraId="5799F060" w14:textId="6D2CA9A6" w:rsidR="00B57377" w:rsidRDefault="00B57377" w:rsidP="00B57377">
      <w:pPr>
        <w:pStyle w:val="Paragrafosecondario"/>
      </w:pPr>
      <w:r>
        <w:t xml:space="preserve">2.2 Char </w:t>
      </w:r>
      <w:r w:rsidR="00A73134">
        <w:t>c</w:t>
      </w:r>
      <w:r>
        <w:t>haracterization</w:t>
      </w:r>
    </w:p>
    <w:p w14:paraId="47A764D9" w14:textId="42F399CD" w:rsidR="00B57377" w:rsidRPr="00B57377" w:rsidRDefault="00A84C45" w:rsidP="00B57377">
      <w:pPr>
        <w:pStyle w:val="Paragrafosecondario"/>
        <w:spacing w:before="120"/>
        <w:ind w:firstLine="284"/>
        <w:rPr>
          <w:b w:val="0"/>
        </w:rPr>
      </w:pPr>
      <w:r w:rsidRPr="00A84C45">
        <w:rPr>
          <w:b w:val="0"/>
        </w:rPr>
        <w:t xml:space="preserve">Char samples obtained in the pyrolysis of the four materials were characterized in terms of chemical composition (elemental analysis) and surface chemistry (FTIR spectroscopy and </w:t>
      </w:r>
      <w:r w:rsidR="00965D28">
        <w:rPr>
          <w:b w:val="0"/>
        </w:rPr>
        <w:t>textural properties</w:t>
      </w:r>
      <w:r w:rsidRPr="00A84C45">
        <w:rPr>
          <w:b w:val="0"/>
        </w:rPr>
        <w:t>)</w:t>
      </w:r>
      <w:r>
        <w:rPr>
          <w:b w:val="0"/>
        </w:rPr>
        <w:t xml:space="preserve"> </w:t>
      </w:r>
      <w:r w:rsidRPr="00A84C45">
        <w:rPr>
          <w:b w:val="0"/>
        </w:rPr>
        <w:t>in order to explain the results observed for CO</w:t>
      </w:r>
      <w:r w:rsidRPr="00A84C45">
        <w:rPr>
          <w:b w:val="0"/>
          <w:vertAlign w:val="subscript"/>
        </w:rPr>
        <w:t>2</w:t>
      </w:r>
      <w:r w:rsidRPr="00A84C45">
        <w:rPr>
          <w:b w:val="0"/>
        </w:rPr>
        <w:t xml:space="preserve"> adsorption capacities</w:t>
      </w:r>
      <w:r>
        <w:rPr>
          <w:b w:val="0"/>
        </w:rPr>
        <w:t>.</w:t>
      </w:r>
      <w:r w:rsidRPr="00B57377">
        <w:rPr>
          <w:b w:val="0"/>
        </w:rPr>
        <w:t xml:space="preserve"> </w:t>
      </w:r>
      <w:r w:rsidR="00696206">
        <w:rPr>
          <w:b w:val="0"/>
        </w:rPr>
        <w:t>The e</w:t>
      </w:r>
      <w:r w:rsidR="00B57377" w:rsidRPr="00B57377">
        <w:rPr>
          <w:b w:val="0"/>
        </w:rPr>
        <w:t xml:space="preserve">lemental </w:t>
      </w:r>
      <w:r w:rsidR="00572B2B">
        <w:rPr>
          <w:b w:val="0"/>
        </w:rPr>
        <w:t>a</w:t>
      </w:r>
      <w:r w:rsidR="00B57377" w:rsidRPr="00B57377">
        <w:rPr>
          <w:b w:val="0"/>
        </w:rPr>
        <w:t xml:space="preserve">nalysis was performed with </w:t>
      </w:r>
      <w:r w:rsidR="00572B2B">
        <w:rPr>
          <w:b w:val="0"/>
        </w:rPr>
        <w:t xml:space="preserve">a </w:t>
      </w:r>
      <w:proofErr w:type="spellStart"/>
      <w:r w:rsidR="00B57377" w:rsidRPr="00B57377">
        <w:rPr>
          <w:b w:val="0"/>
        </w:rPr>
        <w:t>Truspec</w:t>
      </w:r>
      <w:proofErr w:type="spellEnd"/>
      <w:r>
        <w:rPr>
          <w:b w:val="0"/>
        </w:rPr>
        <w:t xml:space="preserve">-CHN® (LECO) Elemental </w:t>
      </w:r>
      <w:proofErr w:type="spellStart"/>
      <w:r>
        <w:rPr>
          <w:b w:val="0"/>
        </w:rPr>
        <w:t>Analyser</w:t>
      </w:r>
      <w:proofErr w:type="spellEnd"/>
      <w:r>
        <w:rPr>
          <w:b w:val="0"/>
        </w:rPr>
        <w:t xml:space="preserve">. </w:t>
      </w:r>
      <w:r w:rsidR="00572B2B">
        <w:rPr>
          <w:b w:val="0"/>
        </w:rPr>
        <w:t>S</w:t>
      </w:r>
      <w:r w:rsidR="00572B2B" w:rsidRPr="00B57377">
        <w:rPr>
          <w:b w:val="0"/>
        </w:rPr>
        <w:t>urface functional groups on the chars</w:t>
      </w:r>
      <w:r w:rsidR="00572B2B">
        <w:rPr>
          <w:b w:val="0"/>
        </w:rPr>
        <w:t xml:space="preserve"> were identified by</w:t>
      </w:r>
      <w:r w:rsidR="00572B2B" w:rsidRPr="00B57377">
        <w:rPr>
          <w:b w:val="0"/>
        </w:rPr>
        <w:t xml:space="preserve"> Attenuated Total Reflection-Fourier Transform Infra-Red (ATR-FTIR) spectroscopy analysis, using an Agilent Cary 600 FTIR spectrometer, with a resolution of 4 cm</w:t>
      </w:r>
      <w:r w:rsidR="00572B2B" w:rsidRPr="004A4B52">
        <w:rPr>
          <w:b w:val="0"/>
          <w:vertAlign w:val="superscript"/>
        </w:rPr>
        <w:t>-1</w:t>
      </w:r>
      <w:r w:rsidR="00572B2B" w:rsidRPr="00B57377">
        <w:rPr>
          <w:b w:val="0"/>
        </w:rPr>
        <w:t xml:space="preserve"> in the wavelength range of 4000 - 400 cm</w:t>
      </w:r>
      <w:r w:rsidR="00572B2B" w:rsidRPr="004A4B52">
        <w:rPr>
          <w:b w:val="0"/>
          <w:vertAlign w:val="superscript"/>
        </w:rPr>
        <w:t>-1</w:t>
      </w:r>
      <w:r w:rsidR="00572B2B">
        <w:rPr>
          <w:b w:val="0"/>
        </w:rPr>
        <w:t xml:space="preserve"> (medium IR region)</w:t>
      </w:r>
      <w:r w:rsidR="00572B2B" w:rsidRPr="00B57377">
        <w:rPr>
          <w:b w:val="0"/>
        </w:rPr>
        <w:t xml:space="preserve">. </w:t>
      </w:r>
      <w:r w:rsidR="00B57377" w:rsidRPr="00B57377">
        <w:rPr>
          <w:b w:val="0"/>
        </w:rPr>
        <w:t xml:space="preserve">Char surface areas were measured with a </w:t>
      </w:r>
      <w:proofErr w:type="spellStart"/>
      <w:r w:rsidR="00572B2B" w:rsidRPr="00572B2B">
        <w:rPr>
          <w:b w:val="0"/>
        </w:rPr>
        <w:t>Quantachrome</w:t>
      </w:r>
      <w:proofErr w:type="spellEnd"/>
      <w:r w:rsidR="00572B2B" w:rsidRPr="00572B2B">
        <w:rPr>
          <w:b w:val="0"/>
        </w:rPr>
        <w:t xml:space="preserve"> </w:t>
      </w:r>
      <w:proofErr w:type="spellStart"/>
      <w:r w:rsidR="00572B2B" w:rsidRPr="00572B2B">
        <w:rPr>
          <w:b w:val="0"/>
        </w:rPr>
        <w:t>Autosorb</w:t>
      </w:r>
      <w:proofErr w:type="spellEnd"/>
      <w:r w:rsidR="00572B2B" w:rsidRPr="00572B2B">
        <w:rPr>
          <w:b w:val="0"/>
        </w:rPr>
        <w:t>® 6 Surface Area and Pore Size Analyzer</w:t>
      </w:r>
      <w:r w:rsidR="00B57377" w:rsidRPr="00B57377">
        <w:rPr>
          <w:b w:val="0"/>
        </w:rPr>
        <w:t xml:space="preserve">. The samples were degassed at 523 K for </w:t>
      </w:r>
      <w:r w:rsidR="00572B2B">
        <w:rPr>
          <w:b w:val="0"/>
        </w:rPr>
        <w:t>15</w:t>
      </w:r>
      <w:r w:rsidR="00B57377" w:rsidRPr="00B57377">
        <w:rPr>
          <w:b w:val="0"/>
        </w:rPr>
        <w:t xml:space="preserve"> h prior to surface area analysis. </w:t>
      </w:r>
      <w:r w:rsidR="00572B2B">
        <w:rPr>
          <w:b w:val="0"/>
        </w:rPr>
        <w:t>Both N</w:t>
      </w:r>
      <w:r w:rsidR="00572B2B" w:rsidRPr="00572B2B">
        <w:rPr>
          <w:b w:val="0"/>
          <w:vertAlign w:val="subscript"/>
        </w:rPr>
        <w:t>2</w:t>
      </w:r>
      <w:r w:rsidR="00572B2B">
        <w:rPr>
          <w:b w:val="0"/>
        </w:rPr>
        <w:t xml:space="preserve"> and CO</w:t>
      </w:r>
      <w:r w:rsidR="00572B2B" w:rsidRPr="00572B2B">
        <w:rPr>
          <w:b w:val="0"/>
          <w:vertAlign w:val="subscript"/>
        </w:rPr>
        <w:t>2</w:t>
      </w:r>
      <w:r w:rsidR="00572B2B">
        <w:rPr>
          <w:b w:val="0"/>
        </w:rPr>
        <w:t xml:space="preserve"> adsorption </w:t>
      </w:r>
      <w:r w:rsidR="00696206">
        <w:rPr>
          <w:b w:val="0"/>
        </w:rPr>
        <w:t>isotherms</w:t>
      </w:r>
      <w:r w:rsidR="00572B2B">
        <w:rPr>
          <w:b w:val="0"/>
        </w:rPr>
        <w:t xml:space="preserve"> (at 77</w:t>
      </w:r>
      <w:r w:rsidR="001460EE">
        <w:rPr>
          <w:b w:val="0"/>
        </w:rPr>
        <w:t xml:space="preserve"> </w:t>
      </w:r>
      <w:r w:rsidR="00572B2B">
        <w:rPr>
          <w:b w:val="0"/>
        </w:rPr>
        <w:t>K and 273 K, respectively) were evaluated.</w:t>
      </w:r>
      <w:r w:rsidR="00B57377" w:rsidRPr="00B57377">
        <w:rPr>
          <w:b w:val="0"/>
        </w:rPr>
        <w:t xml:space="preserve"> </w:t>
      </w:r>
    </w:p>
    <w:p w14:paraId="7BD4A7BA" w14:textId="77777777" w:rsidR="00B57377" w:rsidRDefault="00B57377" w:rsidP="00B57377">
      <w:pPr>
        <w:pStyle w:val="Paragrafosecondario"/>
      </w:pPr>
      <w:r>
        <w:t>2.3 CO</w:t>
      </w:r>
      <w:r w:rsidRPr="00B57377">
        <w:rPr>
          <w:vertAlign w:val="subscript"/>
        </w:rPr>
        <w:t>2</w:t>
      </w:r>
      <w:r>
        <w:t xml:space="preserve"> adsorption procedure</w:t>
      </w:r>
    </w:p>
    <w:p w14:paraId="5DD44FE2" w14:textId="5D476193" w:rsidR="00797181" w:rsidRDefault="0096405B" w:rsidP="00797181">
      <w:pPr>
        <w:pStyle w:val="Paragrafosecondario"/>
        <w:spacing w:before="0" w:after="0"/>
        <w:ind w:firstLine="284"/>
        <w:rPr>
          <w:b w:val="0"/>
        </w:rPr>
      </w:pPr>
      <w:r>
        <w:rPr>
          <w:b w:val="0"/>
        </w:rPr>
        <w:t xml:space="preserve">The </w:t>
      </w:r>
      <w:r w:rsidR="00B57377" w:rsidRPr="00B57377">
        <w:rPr>
          <w:b w:val="0"/>
        </w:rPr>
        <w:t>CO</w:t>
      </w:r>
      <w:r w:rsidR="00B57377" w:rsidRPr="00B57377">
        <w:rPr>
          <w:b w:val="0"/>
          <w:vertAlign w:val="subscript"/>
        </w:rPr>
        <w:t>2</w:t>
      </w:r>
      <w:r w:rsidR="00B57377" w:rsidRPr="00B57377">
        <w:rPr>
          <w:b w:val="0"/>
        </w:rPr>
        <w:t xml:space="preserve"> adsorption capacit</w:t>
      </w:r>
      <w:r>
        <w:rPr>
          <w:b w:val="0"/>
        </w:rPr>
        <w:t>y</w:t>
      </w:r>
      <w:r w:rsidR="00B57377" w:rsidRPr="00B57377">
        <w:rPr>
          <w:b w:val="0"/>
        </w:rPr>
        <w:t xml:space="preserve"> of the char</w:t>
      </w:r>
      <w:r>
        <w:rPr>
          <w:b w:val="0"/>
        </w:rPr>
        <w:t xml:space="preserve"> samples</w:t>
      </w:r>
      <w:r w:rsidR="00B57377" w:rsidRPr="00B57377">
        <w:rPr>
          <w:b w:val="0"/>
        </w:rPr>
        <w:t xml:space="preserve"> </w:t>
      </w:r>
      <w:r w:rsidRPr="0096405B">
        <w:rPr>
          <w:b w:val="0"/>
        </w:rPr>
        <w:t xml:space="preserve">was examined </w:t>
      </w:r>
      <w:r w:rsidR="00045A9C">
        <w:rPr>
          <w:b w:val="0"/>
        </w:rPr>
        <w:t>by</w:t>
      </w:r>
      <w:r w:rsidRPr="0096405B">
        <w:rPr>
          <w:b w:val="0"/>
        </w:rPr>
        <w:t xml:space="preserve"> thermogravimetri</w:t>
      </w:r>
      <w:r w:rsidR="00045A9C">
        <w:rPr>
          <w:b w:val="0"/>
        </w:rPr>
        <w:t>c analysis (TGA)</w:t>
      </w:r>
      <w:r w:rsidRPr="00B57377">
        <w:rPr>
          <w:b w:val="0"/>
        </w:rPr>
        <w:t xml:space="preserve"> </w:t>
      </w:r>
      <w:r w:rsidR="00B57377" w:rsidRPr="00B57377">
        <w:rPr>
          <w:b w:val="0"/>
        </w:rPr>
        <w:t xml:space="preserve">with a </w:t>
      </w:r>
      <w:proofErr w:type="spellStart"/>
      <w:r w:rsidR="00B57377" w:rsidRPr="00B57377">
        <w:rPr>
          <w:b w:val="0"/>
        </w:rPr>
        <w:t>Netzsch</w:t>
      </w:r>
      <w:proofErr w:type="spellEnd"/>
      <w:r w:rsidR="00B57377" w:rsidRPr="00B57377">
        <w:rPr>
          <w:b w:val="0"/>
        </w:rPr>
        <w:t xml:space="preserve"> STA 449 Jupiter® </w:t>
      </w:r>
      <w:proofErr w:type="spellStart"/>
      <w:r w:rsidR="00B57377" w:rsidRPr="00B57377">
        <w:rPr>
          <w:b w:val="0"/>
        </w:rPr>
        <w:t>thermobalance</w:t>
      </w:r>
      <w:proofErr w:type="spellEnd"/>
      <w:r w:rsidR="00B57377" w:rsidRPr="00B57377">
        <w:rPr>
          <w:b w:val="0"/>
        </w:rPr>
        <w:t xml:space="preserve">. </w:t>
      </w:r>
      <w:r>
        <w:rPr>
          <w:b w:val="0"/>
        </w:rPr>
        <w:t xml:space="preserve">Adsorption was evaluated at room temperature and atmospheric pressure. </w:t>
      </w:r>
      <w:r w:rsidR="00045A9C">
        <w:rPr>
          <w:b w:val="0"/>
        </w:rPr>
        <w:t>A</w:t>
      </w:r>
      <w:r w:rsidR="00B57377" w:rsidRPr="00B57377">
        <w:rPr>
          <w:b w:val="0"/>
        </w:rPr>
        <w:t xml:space="preserve">bout 50 mg of ground </w:t>
      </w:r>
      <w:r w:rsidR="00045A9C">
        <w:rPr>
          <w:b w:val="0"/>
        </w:rPr>
        <w:t xml:space="preserve">and sieved </w:t>
      </w:r>
      <w:r w:rsidR="00B57377" w:rsidRPr="00B57377">
        <w:rPr>
          <w:b w:val="0"/>
        </w:rPr>
        <w:t>char sample</w:t>
      </w:r>
      <w:r w:rsidR="00045A9C">
        <w:rPr>
          <w:b w:val="0"/>
        </w:rPr>
        <w:t xml:space="preserve"> (particle size of 0.025-0.063 mm) was firstly degassed at 250 ºC</w:t>
      </w:r>
      <w:r w:rsidR="00B57377" w:rsidRPr="00B57377">
        <w:rPr>
          <w:b w:val="0"/>
        </w:rPr>
        <w:t xml:space="preserve"> for one hour in a N</w:t>
      </w:r>
      <w:r w:rsidR="00B57377" w:rsidRPr="00A84C45">
        <w:rPr>
          <w:b w:val="0"/>
          <w:vertAlign w:val="subscript"/>
        </w:rPr>
        <w:t>2</w:t>
      </w:r>
      <w:r>
        <w:rPr>
          <w:b w:val="0"/>
        </w:rPr>
        <w:t xml:space="preserve"> stream </w:t>
      </w:r>
      <w:proofErr w:type="gramStart"/>
      <w:r>
        <w:rPr>
          <w:b w:val="0"/>
        </w:rPr>
        <w:t>(100</w:t>
      </w:r>
      <w:r w:rsidR="004245F6">
        <w:rPr>
          <w:b w:val="0"/>
        </w:rPr>
        <w:t> </w:t>
      </w:r>
      <w:proofErr w:type="spellStart"/>
      <w:r>
        <w:rPr>
          <w:b w:val="0"/>
        </w:rPr>
        <w:t>mL</w:t>
      </w:r>
      <w:r w:rsidRPr="0096405B">
        <w:rPr>
          <w:b w:val="0"/>
          <w:vertAlign w:val="subscript"/>
        </w:rPr>
        <w:t>STP</w:t>
      </w:r>
      <w:proofErr w:type="spellEnd"/>
      <w:r w:rsidR="004245F6">
        <w:rPr>
          <w:b w:val="0"/>
        </w:rPr>
        <w:t>/</w:t>
      </w:r>
      <w:r w:rsidR="00B57377" w:rsidRPr="00B57377">
        <w:rPr>
          <w:b w:val="0"/>
        </w:rPr>
        <w:t>min)</w:t>
      </w:r>
      <w:proofErr w:type="gramEnd"/>
      <w:r w:rsidR="00B57377" w:rsidRPr="00B57377">
        <w:rPr>
          <w:b w:val="0"/>
        </w:rPr>
        <w:t xml:space="preserve">. </w:t>
      </w:r>
      <w:r w:rsidR="00045A9C">
        <w:rPr>
          <w:b w:val="0"/>
        </w:rPr>
        <w:t xml:space="preserve">After cooled </w:t>
      </w:r>
      <w:r w:rsidR="00B57377" w:rsidRPr="00B57377">
        <w:rPr>
          <w:b w:val="0"/>
        </w:rPr>
        <w:t xml:space="preserve">down to 25 ºC, </w:t>
      </w:r>
      <w:r w:rsidR="00045A9C" w:rsidRPr="00045A9C">
        <w:rPr>
          <w:b w:val="0"/>
        </w:rPr>
        <w:t xml:space="preserve">the sample </w:t>
      </w:r>
      <w:r w:rsidR="00045A9C">
        <w:rPr>
          <w:b w:val="0"/>
        </w:rPr>
        <w:t>was</w:t>
      </w:r>
      <w:r w:rsidR="00045A9C" w:rsidRPr="00045A9C">
        <w:rPr>
          <w:b w:val="0"/>
        </w:rPr>
        <w:t xml:space="preserve"> exposed to various CO</w:t>
      </w:r>
      <w:r w:rsidR="00045A9C" w:rsidRPr="00045A9C">
        <w:rPr>
          <w:b w:val="0"/>
          <w:vertAlign w:val="subscript"/>
        </w:rPr>
        <w:t>2</w:t>
      </w:r>
      <w:r w:rsidR="00045A9C" w:rsidRPr="00045A9C">
        <w:rPr>
          <w:b w:val="0"/>
        </w:rPr>
        <w:t>/</w:t>
      </w:r>
      <w:r w:rsidR="00045A9C">
        <w:rPr>
          <w:b w:val="0"/>
        </w:rPr>
        <w:t>N</w:t>
      </w:r>
      <w:r w:rsidR="00045A9C" w:rsidRPr="00045A9C">
        <w:rPr>
          <w:b w:val="0"/>
          <w:vertAlign w:val="subscript"/>
        </w:rPr>
        <w:t>2</w:t>
      </w:r>
      <w:r w:rsidR="00045A9C" w:rsidRPr="00045A9C">
        <w:rPr>
          <w:b w:val="0"/>
        </w:rPr>
        <w:t xml:space="preserve"> mixtures </w:t>
      </w:r>
      <w:r w:rsidR="00045A9C">
        <w:rPr>
          <w:b w:val="0"/>
        </w:rPr>
        <w:t>(</w:t>
      </w:r>
      <w:r w:rsidR="00C62EBD">
        <w:rPr>
          <w:b w:val="0"/>
        </w:rPr>
        <w:t>CO</w:t>
      </w:r>
      <w:r w:rsidR="00C62EBD" w:rsidRPr="00C62EBD">
        <w:rPr>
          <w:b w:val="0"/>
          <w:vertAlign w:val="subscript"/>
        </w:rPr>
        <w:t>2</w:t>
      </w:r>
      <w:r w:rsidR="00C62EBD">
        <w:rPr>
          <w:b w:val="0"/>
        </w:rPr>
        <w:t xml:space="preserve"> concentration ranging 2-8</w:t>
      </w:r>
      <w:r w:rsidR="007D5FE7">
        <w:rPr>
          <w:b w:val="0"/>
        </w:rPr>
        <w:t>3</w:t>
      </w:r>
      <w:r w:rsidR="00C62EBD">
        <w:rPr>
          <w:b w:val="0"/>
        </w:rPr>
        <w:t xml:space="preserve"> vol.</w:t>
      </w:r>
      <w:r w:rsidR="00797181">
        <w:rPr>
          <w:b w:val="0"/>
        </w:rPr>
        <w:t xml:space="preserve"> </w:t>
      </w:r>
      <w:r w:rsidR="00C62EBD">
        <w:rPr>
          <w:b w:val="0"/>
        </w:rPr>
        <w:t>%</w:t>
      </w:r>
      <w:r w:rsidR="00045A9C">
        <w:rPr>
          <w:b w:val="0"/>
        </w:rPr>
        <w:t>)</w:t>
      </w:r>
      <w:r w:rsidR="00C62EBD">
        <w:rPr>
          <w:b w:val="0"/>
        </w:rPr>
        <w:t xml:space="preserve"> </w:t>
      </w:r>
      <w:r w:rsidR="00045A9C" w:rsidRPr="00045A9C">
        <w:rPr>
          <w:b w:val="0"/>
        </w:rPr>
        <w:t xml:space="preserve">and the change in sample weight </w:t>
      </w:r>
      <w:r w:rsidR="00045A9C">
        <w:rPr>
          <w:b w:val="0"/>
        </w:rPr>
        <w:t>was</w:t>
      </w:r>
      <w:r w:rsidR="00045A9C" w:rsidRPr="00045A9C">
        <w:rPr>
          <w:b w:val="0"/>
        </w:rPr>
        <w:t xml:space="preserve"> measured</w:t>
      </w:r>
      <w:r w:rsidR="00797181">
        <w:rPr>
          <w:b w:val="0"/>
        </w:rPr>
        <w:t xml:space="preserve"> (</w:t>
      </w:r>
      <w:r w:rsidR="00797181" w:rsidRPr="00B57377">
        <w:rPr>
          <w:b w:val="0"/>
        </w:rPr>
        <w:t>N</w:t>
      </w:r>
      <w:r w:rsidR="00797181" w:rsidRPr="00B57377">
        <w:rPr>
          <w:b w:val="0"/>
          <w:vertAlign w:val="subscript"/>
        </w:rPr>
        <w:t>2</w:t>
      </w:r>
      <w:r w:rsidR="00797181" w:rsidRPr="00B57377">
        <w:rPr>
          <w:b w:val="0"/>
        </w:rPr>
        <w:t xml:space="preserve"> </w:t>
      </w:r>
      <w:r w:rsidR="00797181" w:rsidRPr="00B57377">
        <w:rPr>
          <w:b w:val="0"/>
        </w:rPr>
        <w:lastRenderedPageBreak/>
        <w:t>adsorption on the char sa</w:t>
      </w:r>
      <w:r w:rsidR="00797181">
        <w:rPr>
          <w:b w:val="0"/>
        </w:rPr>
        <w:t>mples was considered negligible)</w:t>
      </w:r>
      <w:r w:rsidR="00C62EBD">
        <w:rPr>
          <w:b w:val="0"/>
        </w:rPr>
        <w:t xml:space="preserve">. The use </w:t>
      </w:r>
      <w:r w:rsidR="00B9064B">
        <w:rPr>
          <w:b w:val="0"/>
        </w:rPr>
        <w:t xml:space="preserve">of </w:t>
      </w:r>
      <w:r w:rsidR="00C62EBD">
        <w:rPr>
          <w:b w:val="0"/>
        </w:rPr>
        <w:t xml:space="preserve">20 </w:t>
      </w:r>
      <w:proofErr w:type="spellStart"/>
      <w:r w:rsidR="00DF30C2">
        <w:rPr>
          <w:b w:val="0"/>
        </w:rPr>
        <w:t>mL</w:t>
      </w:r>
      <w:r w:rsidR="00DF30C2" w:rsidRPr="0096405B">
        <w:rPr>
          <w:b w:val="0"/>
          <w:vertAlign w:val="subscript"/>
        </w:rPr>
        <w:t>STP</w:t>
      </w:r>
      <w:proofErr w:type="spellEnd"/>
      <w:r w:rsidR="00DF30C2">
        <w:rPr>
          <w:b w:val="0"/>
        </w:rPr>
        <w:t>/</w:t>
      </w:r>
      <w:r w:rsidR="00DF30C2" w:rsidRPr="00B57377">
        <w:rPr>
          <w:b w:val="0"/>
        </w:rPr>
        <w:t>min</w:t>
      </w:r>
      <w:r w:rsidR="00C62EBD">
        <w:rPr>
          <w:b w:val="0"/>
        </w:rPr>
        <w:t xml:space="preserve"> </w:t>
      </w:r>
      <w:r w:rsidR="00DF30C2">
        <w:rPr>
          <w:b w:val="0"/>
        </w:rPr>
        <w:t xml:space="preserve">of </w:t>
      </w:r>
      <w:r w:rsidR="00C62EBD">
        <w:rPr>
          <w:b w:val="0"/>
        </w:rPr>
        <w:t>N</w:t>
      </w:r>
      <w:r w:rsidR="00C62EBD" w:rsidRPr="00C62EBD">
        <w:rPr>
          <w:b w:val="0"/>
          <w:vertAlign w:val="subscript"/>
        </w:rPr>
        <w:t>2</w:t>
      </w:r>
      <w:r w:rsidR="00C62EBD">
        <w:rPr>
          <w:b w:val="0"/>
        </w:rPr>
        <w:t xml:space="preserve"> as protective gas </w:t>
      </w:r>
      <w:r w:rsidR="00B9064B">
        <w:rPr>
          <w:b w:val="0"/>
        </w:rPr>
        <w:t xml:space="preserve">flow </w:t>
      </w:r>
      <w:r w:rsidR="00C62EBD">
        <w:rPr>
          <w:b w:val="0"/>
        </w:rPr>
        <w:t xml:space="preserve">in the TGA apparatus </w:t>
      </w:r>
      <w:r w:rsidR="00696206">
        <w:rPr>
          <w:b w:val="0"/>
        </w:rPr>
        <w:t xml:space="preserve">prevented the study of </w:t>
      </w:r>
      <w:r w:rsidR="00C62EBD">
        <w:rPr>
          <w:b w:val="0"/>
        </w:rPr>
        <w:t xml:space="preserve">adsorption of </w:t>
      </w:r>
      <w:r w:rsidR="00682DFA">
        <w:rPr>
          <w:b w:val="0"/>
        </w:rPr>
        <w:t>pure</w:t>
      </w:r>
      <w:r w:rsidR="00C62EBD">
        <w:rPr>
          <w:b w:val="0"/>
        </w:rPr>
        <w:t xml:space="preserve"> CO</w:t>
      </w:r>
      <w:r w:rsidR="00C62EBD" w:rsidRPr="00C62EBD">
        <w:rPr>
          <w:b w:val="0"/>
          <w:vertAlign w:val="subscript"/>
        </w:rPr>
        <w:t>2</w:t>
      </w:r>
      <w:r w:rsidR="00C62EBD">
        <w:rPr>
          <w:b w:val="0"/>
        </w:rPr>
        <w:t>. O</w:t>
      </w:r>
      <w:r w:rsidR="00B57377" w:rsidRPr="00B57377">
        <w:rPr>
          <w:b w:val="0"/>
        </w:rPr>
        <w:t xml:space="preserve">nce the gas </w:t>
      </w:r>
      <w:r w:rsidR="00C62EBD">
        <w:rPr>
          <w:b w:val="0"/>
        </w:rPr>
        <w:t>flow</w:t>
      </w:r>
      <w:r w:rsidR="00B57377" w:rsidRPr="00B57377">
        <w:rPr>
          <w:b w:val="0"/>
        </w:rPr>
        <w:t xml:space="preserve"> was switched</w:t>
      </w:r>
      <w:r w:rsidR="00C62EBD">
        <w:rPr>
          <w:b w:val="0"/>
        </w:rPr>
        <w:t xml:space="preserve"> to </w:t>
      </w:r>
      <w:r w:rsidR="00696206">
        <w:rPr>
          <w:b w:val="0"/>
        </w:rPr>
        <w:t>a selected</w:t>
      </w:r>
      <w:r w:rsidR="00C62EBD">
        <w:rPr>
          <w:b w:val="0"/>
        </w:rPr>
        <w:t xml:space="preserve"> CO</w:t>
      </w:r>
      <w:r w:rsidR="00C62EBD" w:rsidRPr="00C62EBD">
        <w:rPr>
          <w:b w:val="0"/>
          <w:vertAlign w:val="subscript"/>
        </w:rPr>
        <w:t>2</w:t>
      </w:r>
      <w:r w:rsidR="00C62EBD">
        <w:rPr>
          <w:b w:val="0"/>
        </w:rPr>
        <w:t xml:space="preserve"> composition</w:t>
      </w:r>
      <w:r w:rsidR="00B57377" w:rsidRPr="00B57377">
        <w:rPr>
          <w:b w:val="0"/>
        </w:rPr>
        <w:t xml:space="preserve">, the sample was held at 25 ºC for </w:t>
      </w:r>
      <w:r w:rsidR="00C62EBD">
        <w:rPr>
          <w:b w:val="0"/>
        </w:rPr>
        <w:t>50 min</w:t>
      </w:r>
      <w:r w:rsidR="00B57377" w:rsidRPr="00B57377">
        <w:rPr>
          <w:b w:val="0"/>
        </w:rPr>
        <w:t xml:space="preserve"> to </w:t>
      </w:r>
      <w:r w:rsidR="00B9064B" w:rsidRPr="00B9064B">
        <w:rPr>
          <w:b w:val="0"/>
        </w:rPr>
        <w:t>establish equilibrium between CO</w:t>
      </w:r>
      <w:r w:rsidR="00B9064B" w:rsidRPr="00B9064B">
        <w:rPr>
          <w:b w:val="0"/>
          <w:vertAlign w:val="subscript"/>
        </w:rPr>
        <w:t>2</w:t>
      </w:r>
      <w:r w:rsidR="00B9064B" w:rsidRPr="00B9064B">
        <w:rPr>
          <w:b w:val="0"/>
        </w:rPr>
        <w:t xml:space="preserve"> in the gas phase and on the surface. </w:t>
      </w:r>
      <w:r w:rsidR="00797181">
        <w:rPr>
          <w:b w:val="0"/>
        </w:rPr>
        <w:t>A</w:t>
      </w:r>
      <w:r w:rsidR="00B9064B" w:rsidRPr="00B9064B">
        <w:rPr>
          <w:b w:val="0"/>
        </w:rPr>
        <w:t>dsor</w:t>
      </w:r>
      <w:r w:rsidR="00B9064B">
        <w:rPr>
          <w:b w:val="0"/>
        </w:rPr>
        <w:t>ption</w:t>
      </w:r>
      <w:r w:rsidR="00B9064B" w:rsidRPr="00B9064B">
        <w:rPr>
          <w:b w:val="0"/>
        </w:rPr>
        <w:t xml:space="preserve"> </w:t>
      </w:r>
      <w:r w:rsidR="00B9064B">
        <w:rPr>
          <w:b w:val="0"/>
        </w:rPr>
        <w:t xml:space="preserve">of </w:t>
      </w:r>
      <w:r w:rsidR="00B9064B" w:rsidRPr="00B9064B">
        <w:rPr>
          <w:b w:val="0"/>
        </w:rPr>
        <w:t>CO</w:t>
      </w:r>
      <w:r w:rsidR="00B9064B" w:rsidRPr="00B9064B">
        <w:rPr>
          <w:b w:val="0"/>
          <w:vertAlign w:val="subscript"/>
        </w:rPr>
        <w:t>2</w:t>
      </w:r>
      <w:r w:rsidR="00B9064B" w:rsidRPr="00B9064B">
        <w:rPr>
          <w:b w:val="0"/>
        </w:rPr>
        <w:t xml:space="preserve"> </w:t>
      </w:r>
      <w:r w:rsidR="00B9064B">
        <w:rPr>
          <w:b w:val="0"/>
        </w:rPr>
        <w:t xml:space="preserve">in these chars </w:t>
      </w:r>
      <w:r w:rsidR="00696206">
        <w:rPr>
          <w:b w:val="0"/>
        </w:rPr>
        <w:t>occurs</w:t>
      </w:r>
      <w:r w:rsidR="00B9064B">
        <w:rPr>
          <w:b w:val="0"/>
        </w:rPr>
        <w:t xml:space="preserve"> </w:t>
      </w:r>
      <w:r w:rsidR="00B9064B" w:rsidRPr="00B9064B">
        <w:rPr>
          <w:b w:val="0"/>
        </w:rPr>
        <w:t>slow</w:t>
      </w:r>
      <w:r w:rsidR="00696206">
        <w:rPr>
          <w:b w:val="0"/>
        </w:rPr>
        <w:t>ly</w:t>
      </w:r>
      <w:r w:rsidR="00B9064B" w:rsidRPr="00B9064B">
        <w:rPr>
          <w:b w:val="0"/>
        </w:rPr>
        <w:t xml:space="preserve"> and </w:t>
      </w:r>
      <w:r w:rsidR="00B9064B">
        <w:rPr>
          <w:b w:val="0"/>
        </w:rPr>
        <w:t xml:space="preserve">in some cases </w:t>
      </w:r>
      <w:r w:rsidR="00B9064B" w:rsidRPr="00B9064B">
        <w:rPr>
          <w:b w:val="0"/>
        </w:rPr>
        <w:t xml:space="preserve">the weight was still </w:t>
      </w:r>
      <w:r w:rsidR="00B9064B">
        <w:rPr>
          <w:b w:val="0"/>
        </w:rPr>
        <w:t xml:space="preserve">slightly </w:t>
      </w:r>
      <w:r w:rsidR="00B9064B" w:rsidRPr="00B9064B">
        <w:rPr>
          <w:b w:val="0"/>
        </w:rPr>
        <w:t xml:space="preserve">increasing after </w:t>
      </w:r>
      <w:r w:rsidR="00B9064B">
        <w:rPr>
          <w:b w:val="0"/>
        </w:rPr>
        <w:t>5</w:t>
      </w:r>
      <w:r w:rsidR="00B9064B" w:rsidRPr="00B9064B">
        <w:rPr>
          <w:b w:val="0"/>
        </w:rPr>
        <w:t>0 min</w:t>
      </w:r>
      <w:r w:rsidR="00B9064B">
        <w:rPr>
          <w:b w:val="0"/>
        </w:rPr>
        <w:t>, so</w:t>
      </w:r>
      <w:r w:rsidR="00B9064B" w:rsidRPr="00B9064B">
        <w:rPr>
          <w:b w:val="0"/>
        </w:rPr>
        <w:t xml:space="preserve"> final CO</w:t>
      </w:r>
      <w:r w:rsidR="00B9064B" w:rsidRPr="00B9064B">
        <w:rPr>
          <w:b w:val="0"/>
          <w:vertAlign w:val="subscript"/>
        </w:rPr>
        <w:t>2</w:t>
      </w:r>
      <w:r w:rsidR="00B9064B" w:rsidRPr="00B9064B">
        <w:rPr>
          <w:b w:val="0"/>
        </w:rPr>
        <w:t xml:space="preserve"> adsorption capacities </w:t>
      </w:r>
      <w:r w:rsidR="00B9064B">
        <w:rPr>
          <w:b w:val="0"/>
        </w:rPr>
        <w:t>could</w:t>
      </w:r>
      <w:r w:rsidR="00B9064B" w:rsidRPr="00B9064B">
        <w:rPr>
          <w:b w:val="0"/>
        </w:rPr>
        <w:t xml:space="preserve"> be somewhat higher than measured here</w:t>
      </w:r>
      <w:r w:rsidR="00B9064B">
        <w:rPr>
          <w:b w:val="0"/>
        </w:rPr>
        <w:t xml:space="preserve">. </w:t>
      </w:r>
      <w:r w:rsidR="00696206">
        <w:rPr>
          <w:b w:val="0"/>
        </w:rPr>
        <w:t>The adsorption tests at different CO</w:t>
      </w:r>
      <w:r w:rsidR="00696206" w:rsidRPr="00C57399">
        <w:rPr>
          <w:b w:val="0"/>
          <w:vertAlign w:val="subscript"/>
        </w:rPr>
        <w:t>2</w:t>
      </w:r>
      <w:r w:rsidR="00696206">
        <w:rPr>
          <w:b w:val="0"/>
        </w:rPr>
        <w:t xml:space="preserve"> mole fractions were divided into three sets. Between these sets,</w:t>
      </w:r>
      <w:r w:rsidR="00696206">
        <w:rPr>
          <w:b w:val="0"/>
        </w:rPr>
        <w:t xml:space="preserve"> </w:t>
      </w:r>
      <w:r w:rsidR="00797181">
        <w:rPr>
          <w:b w:val="0"/>
        </w:rPr>
        <w:t>the sample was again degassed by</w:t>
      </w:r>
      <w:r w:rsidR="00797181" w:rsidRPr="00797181">
        <w:rPr>
          <w:b w:val="0"/>
        </w:rPr>
        <w:t xml:space="preserve"> rais</w:t>
      </w:r>
      <w:r w:rsidR="00797181">
        <w:rPr>
          <w:b w:val="0"/>
        </w:rPr>
        <w:t xml:space="preserve">ing the temperature by </w:t>
      </w:r>
      <w:r w:rsidR="00696206">
        <w:rPr>
          <w:b w:val="0"/>
        </w:rPr>
        <w:t>10</w:t>
      </w:r>
      <w:r w:rsidR="00797181">
        <w:rPr>
          <w:b w:val="0"/>
        </w:rPr>
        <w:t xml:space="preserve"> º</w:t>
      </w:r>
      <w:r w:rsidR="00797181" w:rsidRPr="00797181">
        <w:rPr>
          <w:b w:val="0"/>
        </w:rPr>
        <w:t>C/min up to 1</w:t>
      </w:r>
      <w:r w:rsidR="00797181">
        <w:rPr>
          <w:b w:val="0"/>
        </w:rPr>
        <w:t>5</w:t>
      </w:r>
      <w:r w:rsidR="00797181" w:rsidRPr="00797181">
        <w:rPr>
          <w:b w:val="0"/>
        </w:rPr>
        <w:t xml:space="preserve">0 </w:t>
      </w:r>
      <w:r w:rsidR="00797181">
        <w:rPr>
          <w:b w:val="0"/>
        </w:rPr>
        <w:t>º</w:t>
      </w:r>
      <w:r w:rsidR="00797181" w:rsidRPr="00797181">
        <w:rPr>
          <w:b w:val="0"/>
        </w:rPr>
        <w:t xml:space="preserve">C (desorption branch) and afterwards lowered to 25 </w:t>
      </w:r>
      <w:proofErr w:type="spellStart"/>
      <w:r w:rsidR="00797181" w:rsidRPr="00797181">
        <w:rPr>
          <w:b w:val="0"/>
          <w:vertAlign w:val="superscript"/>
        </w:rPr>
        <w:t>o</w:t>
      </w:r>
      <w:r w:rsidR="00797181" w:rsidRPr="00797181">
        <w:rPr>
          <w:b w:val="0"/>
        </w:rPr>
        <w:t>C</w:t>
      </w:r>
      <w:proofErr w:type="spellEnd"/>
      <w:r w:rsidR="00797181" w:rsidRPr="00797181">
        <w:rPr>
          <w:b w:val="0"/>
        </w:rPr>
        <w:t xml:space="preserve"> (adsorption branch)</w:t>
      </w:r>
      <w:r w:rsidR="00797181">
        <w:rPr>
          <w:b w:val="0"/>
        </w:rPr>
        <w:t xml:space="preserve"> in N</w:t>
      </w:r>
      <w:r w:rsidR="00797181" w:rsidRPr="00797181">
        <w:rPr>
          <w:b w:val="0"/>
          <w:vertAlign w:val="subscript"/>
        </w:rPr>
        <w:t>2</w:t>
      </w:r>
      <w:r w:rsidR="00696206">
        <w:rPr>
          <w:b w:val="0"/>
        </w:rPr>
        <w:t xml:space="preserve"> atmosphere. </w:t>
      </w:r>
      <w:r w:rsidR="00696206">
        <w:rPr>
          <w:b w:val="0"/>
        </w:rPr>
        <w:t>This procedure tests for chemisorption or alternatively the reversibility of CO</w:t>
      </w:r>
      <w:r w:rsidR="00696206" w:rsidRPr="00797181">
        <w:rPr>
          <w:b w:val="0"/>
          <w:vertAlign w:val="subscript"/>
        </w:rPr>
        <w:t>2</w:t>
      </w:r>
      <w:r w:rsidR="00696206">
        <w:rPr>
          <w:b w:val="0"/>
        </w:rPr>
        <w:t xml:space="preserve"> adsorption. Several CO</w:t>
      </w:r>
      <w:r w:rsidR="00696206" w:rsidRPr="00186158">
        <w:rPr>
          <w:b w:val="0"/>
          <w:vertAlign w:val="subscript"/>
        </w:rPr>
        <w:t>2</w:t>
      </w:r>
      <w:r w:rsidR="00696206">
        <w:rPr>
          <w:b w:val="0"/>
        </w:rPr>
        <w:t xml:space="preserve"> mole fractions were tested more than once to obtain information on the repeatability of the measurements.</w:t>
      </w:r>
    </w:p>
    <w:p w14:paraId="33C53066" w14:textId="17354E2D" w:rsidR="00045A9C" w:rsidRPr="00B57377" w:rsidRDefault="00B57377" w:rsidP="00A73134">
      <w:pPr>
        <w:pStyle w:val="Paragrafosecondario"/>
        <w:spacing w:before="0" w:after="0"/>
        <w:ind w:firstLine="284"/>
        <w:rPr>
          <w:b w:val="0"/>
        </w:rPr>
      </w:pPr>
      <w:r w:rsidRPr="00B57377">
        <w:rPr>
          <w:b w:val="0"/>
        </w:rPr>
        <w:t xml:space="preserve">The </w:t>
      </w:r>
      <w:r w:rsidR="00797181" w:rsidRPr="00B57377">
        <w:rPr>
          <w:b w:val="0"/>
        </w:rPr>
        <w:t>CO</w:t>
      </w:r>
      <w:r w:rsidR="00797181" w:rsidRPr="00B57377">
        <w:rPr>
          <w:b w:val="0"/>
          <w:vertAlign w:val="subscript"/>
        </w:rPr>
        <w:t>2</w:t>
      </w:r>
      <w:r w:rsidR="00797181" w:rsidRPr="00B57377">
        <w:rPr>
          <w:b w:val="0"/>
        </w:rPr>
        <w:t xml:space="preserve"> adsorption capacity </w:t>
      </w:r>
      <w:r w:rsidR="00A73134">
        <w:rPr>
          <w:b w:val="0"/>
        </w:rPr>
        <w:t xml:space="preserve">of chars </w:t>
      </w:r>
      <w:r w:rsidR="00797181" w:rsidRPr="00B57377">
        <w:rPr>
          <w:b w:val="0"/>
        </w:rPr>
        <w:t>(mg CO</w:t>
      </w:r>
      <w:r w:rsidR="00797181" w:rsidRPr="00B57377">
        <w:rPr>
          <w:b w:val="0"/>
          <w:vertAlign w:val="subscript"/>
        </w:rPr>
        <w:t>2</w:t>
      </w:r>
      <w:r w:rsidR="00797181" w:rsidRPr="00B57377">
        <w:rPr>
          <w:b w:val="0"/>
        </w:rPr>
        <w:t>/g char)</w:t>
      </w:r>
      <w:r w:rsidR="00797181">
        <w:rPr>
          <w:b w:val="0"/>
        </w:rPr>
        <w:t xml:space="preserve"> </w:t>
      </w:r>
      <w:r w:rsidR="00797181" w:rsidRPr="00B57377">
        <w:rPr>
          <w:b w:val="0"/>
        </w:rPr>
        <w:t>for each CO</w:t>
      </w:r>
      <w:r w:rsidR="00797181" w:rsidRPr="00B57377">
        <w:rPr>
          <w:b w:val="0"/>
          <w:vertAlign w:val="subscript"/>
        </w:rPr>
        <w:t>2</w:t>
      </w:r>
      <w:r w:rsidR="00797181" w:rsidRPr="00B57377">
        <w:rPr>
          <w:b w:val="0"/>
        </w:rPr>
        <w:t xml:space="preserve"> partial pressure </w:t>
      </w:r>
      <w:r w:rsidR="00797181">
        <w:rPr>
          <w:b w:val="0"/>
        </w:rPr>
        <w:t xml:space="preserve">was calculated from the </w:t>
      </w:r>
      <w:r w:rsidRPr="00B57377">
        <w:rPr>
          <w:b w:val="0"/>
        </w:rPr>
        <w:t>weight gain</w:t>
      </w:r>
      <w:r w:rsidR="00696206">
        <w:rPr>
          <w:b w:val="0"/>
        </w:rPr>
        <w:t xml:space="preserve"> </w:t>
      </w:r>
      <w:r w:rsidR="00696206">
        <w:rPr>
          <w:b w:val="0"/>
        </w:rPr>
        <w:t>relative to the weight in pure N</w:t>
      </w:r>
      <w:r w:rsidR="00696206" w:rsidRPr="00C57399">
        <w:rPr>
          <w:b w:val="0"/>
          <w:vertAlign w:val="subscript"/>
        </w:rPr>
        <w:t>2</w:t>
      </w:r>
      <w:r w:rsidR="00696206">
        <w:rPr>
          <w:b w:val="0"/>
        </w:rPr>
        <w:t xml:space="preserve"> atmospher</w:t>
      </w:r>
      <w:r w:rsidR="00696206">
        <w:rPr>
          <w:b w:val="0"/>
        </w:rPr>
        <w:t>e</w:t>
      </w:r>
      <w:r w:rsidRPr="00B57377">
        <w:rPr>
          <w:b w:val="0"/>
        </w:rPr>
        <w:t xml:space="preserve">. </w:t>
      </w:r>
    </w:p>
    <w:p w14:paraId="76D87F92" w14:textId="136358EC" w:rsidR="0047067C" w:rsidRPr="00FB6A81" w:rsidRDefault="00AC31F4" w:rsidP="000375B8">
      <w:pPr>
        <w:pStyle w:val="Paragrafoprincipale"/>
      </w:pPr>
      <w:r>
        <w:t>RESULTS</w:t>
      </w:r>
      <w:r w:rsidR="007C163B">
        <w:t xml:space="preserve"> AND DISCUSSION</w:t>
      </w:r>
    </w:p>
    <w:p w14:paraId="7FC74C07" w14:textId="1D890C41" w:rsidR="00AC31F4" w:rsidRPr="00AC31F4" w:rsidRDefault="00AC31F4" w:rsidP="00AC31F4">
      <w:pPr>
        <w:pStyle w:val="Prrafodelista"/>
        <w:pBdr>
          <w:top w:val="nil"/>
          <w:left w:val="nil"/>
          <w:bottom w:val="nil"/>
          <w:right w:val="nil"/>
          <w:between w:val="nil"/>
        </w:pBdr>
        <w:spacing w:before="360" w:after="180" w:line="240" w:lineRule="auto"/>
        <w:ind w:left="0" w:right="0" w:firstLine="0"/>
        <w:rPr>
          <w:b/>
          <w:color w:val="000000"/>
          <w:sz w:val="22"/>
          <w:szCs w:val="22"/>
        </w:rPr>
      </w:pPr>
      <w:r>
        <w:rPr>
          <w:b/>
          <w:color w:val="000000"/>
          <w:sz w:val="22"/>
          <w:szCs w:val="22"/>
        </w:rPr>
        <w:t xml:space="preserve">3.1. </w:t>
      </w:r>
      <w:r w:rsidRPr="00AC31F4">
        <w:rPr>
          <w:b/>
          <w:color w:val="000000"/>
          <w:sz w:val="22"/>
          <w:szCs w:val="22"/>
        </w:rPr>
        <w:t xml:space="preserve">Char </w:t>
      </w:r>
      <w:r w:rsidR="00696206">
        <w:rPr>
          <w:b/>
          <w:color w:val="000000"/>
          <w:sz w:val="22"/>
          <w:szCs w:val="22"/>
        </w:rPr>
        <w:t>c</w:t>
      </w:r>
      <w:r w:rsidRPr="00AC31F4">
        <w:rPr>
          <w:b/>
          <w:color w:val="000000"/>
          <w:sz w:val="22"/>
          <w:szCs w:val="22"/>
        </w:rPr>
        <w:t>haracterization</w:t>
      </w:r>
    </w:p>
    <w:p w14:paraId="1BBCA095" w14:textId="57672CAB" w:rsidR="00AC31F4" w:rsidRPr="00E46261" w:rsidRDefault="00AC31F4" w:rsidP="00E46261">
      <w:pPr>
        <w:rPr>
          <w:i/>
        </w:rPr>
      </w:pPr>
      <w:r>
        <w:t>Char samples obtained in the pyrolysis of the four materials were characterized in terms of chemical composition (elemental analysis) and surface chemistry (FTIR spectroscopy and surface area measurement) in order to explain the results observed for CO</w:t>
      </w:r>
      <w:r w:rsidRPr="00D84DF6">
        <w:rPr>
          <w:vertAlign w:val="subscript"/>
        </w:rPr>
        <w:t>2</w:t>
      </w:r>
      <w:r>
        <w:t xml:space="preserve"> adsorption capacities. </w:t>
      </w:r>
      <w:r w:rsidR="00E46261">
        <w:t>A more detailed discussion about these characterization results can be found in the work “</w:t>
      </w:r>
      <w:r w:rsidR="00E46261" w:rsidRPr="000211DB">
        <w:rPr>
          <w:i/>
        </w:rPr>
        <w:t>Pyrolysis of two different kinds of proteins:</w:t>
      </w:r>
      <w:r w:rsidR="000211DB" w:rsidRPr="000211DB">
        <w:rPr>
          <w:i/>
        </w:rPr>
        <w:t xml:space="preserve"> collagen and soybean protein. A</w:t>
      </w:r>
      <w:r w:rsidR="00E46261" w:rsidRPr="000211DB">
        <w:rPr>
          <w:i/>
        </w:rPr>
        <w:t>nalysis of their contribution on the pyrolysis of rich protein animal wastes</w:t>
      </w:r>
      <w:r w:rsidR="00E46261">
        <w:t xml:space="preserve">”, which is also included in: </w:t>
      </w:r>
      <w:r w:rsidR="00E46261" w:rsidRPr="00E46261">
        <w:rPr>
          <w:i/>
        </w:rPr>
        <w:t>Proceedings of the 18</w:t>
      </w:r>
      <w:r w:rsidR="00E46261" w:rsidRPr="00E46261">
        <w:rPr>
          <w:i/>
          <w:vertAlign w:val="superscript"/>
        </w:rPr>
        <w:t>th</w:t>
      </w:r>
      <w:r w:rsidR="00E46261" w:rsidRPr="00E46261">
        <w:rPr>
          <w:i/>
        </w:rPr>
        <w:t xml:space="preserve"> International Symposium on Waste Management and Sustainable Landfilling</w:t>
      </w:r>
      <w:r w:rsidR="00E46261" w:rsidRPr="00E46261">
        <w:t>.</w:t>
      </w:r>
    </w:p>
    <w:p w14:paraId="2E692728" w14:textId="73445AD8" w:rsidR="00AC31F4" w:rsidRDefault="00AC31F4" w:rsidP="000375B8">
      <w:pPr>
        <w:pBdr>
          <w:top w:val="nil"/>
          <w:left w:val="nil"/>
          <w:bottom w:val="nil"/>
          <w:right w:val="nil"/>
          <w:between w:val="nil"/>
        </w:pBdr>
        <w:spacing w:before="240" w:after="120" w:line="240" w:lineRule="auto"/>
        <w:ind w:right="0" w:firstLine="0"/>
        <w:rPr>
          <w:i/>
          <w:color w:val="000000"/>
        </w:rPr>
      </w:pPr>
      <w:r>
        <w:rPr>
          <w:i/>
          <w:color w:val="000000"/>
        </w:rPr>
        <w:t>3.3.1 Elemental Composition</w:t>
      </w:r>
    </w:p>
    <w:p w14:paraId="130FF7C2" w14:textId="18CD0488" w:rsidR="00AC31F4" w:rsidRDefault="00AC31F4" w:rsidP="00AC31F4">
      <w:r>
        <w:t xml:space="preserve">Important </w:t>
      </w:r>
      <w:r w:rsidRPr="00A73134">
        <w:t xml:space="preserve">differences have been found when comparing the elemental analysis of the residues and the pure proteins (Table </w:t>
      </w:r>
      <w:r w:rsidR="00533C7D" w:rsidRPr="00A73134">
        <w:t>1</w:t>
      </w:r>
      <w:r>
        <w:t xml:space="preserve">). On an ‘as received basis’, chars obtained from the proteins are much richer in C and N than the residues, mainly because of ash dilution in the wastes. The ratio N/C </w:t>
      </w:r>
      <w:r w:rsidR="00A73134">
        <w:t>is</w:t>
      </w:r>
      <w:r>
        <w:t xml:space="preserve"> also higher in the proteins chars (quite similar values in both cases), followed by the meat and bone meal chars. </w:t>
      </w:r>
      <w:r w:rsidR="00696206">
        <w:t xml:space="preserve">The </w:t>
      </w:r>
      <w:r>
        <w:t xml:space="preserve">N/C ratio in the digested manure chars </w:t>
      </w:r>
      <w:r w:rsidR="00A73134">
        <w:t>is</w:t>
      </w:r>
      <w:r>
        <w:t xml:space="preserve"> about 3-4 times lower than in meat and bone meal chars (for instance, 0.03 in DM750 vs. 0.12 in MBM750). A slight downward trend </w:t>
      </w:r>
      <w:r w:rsidR="00A73134">
        <w:t>is</w:t>
      </w:r>
      <w:r>
        <w:t xml:space="preserve"> observed in N/C ratio when increasing the pyrolysis temperature.</w:t>
      </w:r>
    </w:p>
    <w:p w14:paraId="3A233869" w14:textId="39F6E43C" w:rsidR="00AC31F4" w:rsidRPr="00D871E1" w:rsidRDefault="00AC31F4" w:rsidP="00AC31F4">
      <w:pPr>
        <w:pBdr>
          <w:top w:val="nil"/>
          <w:left w:val="nil"/>
          <w:bottom w:val="nil"/>
          <w:right w:val="nil"/>
          <w:between w:val="nil"/>
        </w:pBdr>
        <w:spacing w:before="360" w:after="120" w:line="240" w:lineRule="auto"/>
        <w:ind w:right="0" w:firstLine="0"/>
        <w:jc w:val="left"/>
        <w:rPr>
          <w:sz w:val="20"/>
        </w:rPr>
      </w:pPr>
      <w:r w:rsidRPr="00D871E1">
        <w:rPr>
          <w:color w:val="000000"/>
          <w:sz w:val="18"/>
          <w:szCs w:val="19"/>
        </w:rPr>
        <w:t xml:space="preserve">Table </w:t>
      </w:r>
      <w:r w:rsidR="00533C7D" w:rsidRPr="00D871E1">
        <w:rPr>
          <w:color w:val="000000"/>
          <w:sz w:val="18"/>
          <w:szCs w:val="19"/>
        </w:rPr>
        <w:t>1</w:t>
      </w:r>
      <w:r w:rsidRPr="00D871E1">
        <w:rPr>
          <w:color w:val="000000"/>
          <w:sz w:val="18"/>
          <w:szCs w:val="19"/>
        </w:rPr>
        <w:t>. Elemental analys</w:t>
      </w:r>
      <w:r w:rsidR="00533C7D" w:rsidRPr="00D871E1">
        <w:rPr>
          <w:color w:val="000000"/>
          <w:sz w:val="18"/>
          <w:szCs w:val="19"/>
        </w:rPr>
        <w:t>i</w:t>
      </w:r>
      <w:r w:rsidRPr="00D871E1">
        <w:rPr>
          <w:color w:val="000000"/>
          <w:sz w:val="18"/>
          <w:szCs w:val="19"/>
        </w:rPr>
        <w:t xml:space="preserve">s </w:t>
      </w:r>
      <w:r w:rsidR="00533C7D" w:rsidRPr="00D871E1">
        <w:rPr>
          <w:color w:val="000000"/>
          <w:sz w:val="18"/>
          <w:szCs w:val="19"/>
        </w:rPr>
        <w:t xml:space="preserve">data </w:t>
      </w:r>
      <w:r w:rsidRPr="00D871E1">
        <w:rPr>
          <w:color w:val="000000"/>
          <w:sz w:val="18"/>
          <w:szCs w:val="19"/>
        </w:rPr>
        <w:t>of pyrolysis chars</w:t>
      </w:r>
    </w:p>
    <w:tbl>
      <w:tblPr>
        <w:tblStyle w:val="Tablaconcuadrcula"/>
        <w:tblW w:w="9181" w:type="dxa"/>
        <w:tblLayout w:type="fixed"/>
        <w:tblLook w:val="04A0" w:firstRow="1" w:lastRow="0" w:firstColumn="1" w:lastColumn="0" w:noHBand="0" w:noVBand="1"/>
      </w:tblPr>
      <w:tblGrid>
        <w:gridCol w:w="1101"/>
        <w:gridCol w:w="850"/>
        <w:gridCol w:w="992"/>
        <w:gridCol w:w="850"/>
        <w:gridCol w:w="851"/>
        <w:gridCol w:w="993"/>
        <w:gridCol w:w="851"/>
        <w:gridCol w:w="850"/>
        <w:gridCol w:w="992"/>
        <w:gridCol w:w="851"/>
      </w:tblGrid>
      <w:tr w:rsidR="00AC31F4" w:rsidRPr="003F5F71" w14:paraId="4F4D121E" w14:textId="77777777" w:rsidTr="00DF30C2">
        <w:trPr>
          <w:trHeight w:val="399"/>
        </w:trPr>
        <w:tc>
          <w:tcPr>
            <w:tcW w:w="1101" w:type="dxa"/>
            <w:tcBorders>
              <w:top w:val="nil"/>
              <w:left w:val="nil"/>
              <w:bottom w:val="nil"/>
              <w:right w:val="nil"/>
            </w:tcBorders>
            <w:vAlign w:val="center"/>
          </w:tcPr>
          <w:p w14:paraId="7437F506" w14:textId="77777777" w:rsidR="00AC31F4" w:rsidRPr="003F5F71" w:rsidRDefault="00AC31F4" w:rsidP="007C163B">
            <w:pPr>
              <w:ind w:firstLine="0"/>
              <w:jc w:val="center"/>
              <w:rPr>
                <w:sz w:val="16"/>
                <w:szCs w:val="18"/>
              </w:rPr>
            </w:pPr>
          </w:p>
        </w:tc>
        <w:tc>
          <w:tcPr>
            <w:tcW w:w="2692" w:type="dxa"/>
            <w:gridSpan w:val="3"/>
            <w:tcBorders>
              <w:left w:val="nil"/>
            </w:tcBorders>
            <w:vAlign w:val="center"/>
          </w:tcPr>
          <w:p w14:paraId="21BFE210" w14:textId="77777777" w:rsidR="00AC31F4" w:rsidRPr="003F5F71" w:rsidRDefault="00AC31F4" w:rsidP="007C163B">
            <w:pPr>
              <w:ind w:firstLine="0"/>
              <w:jc w:val="center"/>
              <w:rPr>
                <w:b/>
                <w:sz w:val="16"/>
                <w:szCs w:val="18"/>
              </w:rPr>
            </w:pPr>
            <w:r>
              <w:rPr>
                <w:b/>
                <w:sz w:val="16"/>
                <w:szCs w:val="18"/>
              </w:rPr>
              <w:t>Chars produced</w:t>
            </w:r>
            <w:r w:rsidRPr="003F5F71">
              <w:rPr>
                <w:b/>
                <w:sz w:val="16"/>
                <w:szCs w:val="18"/>
              </w:rPr>
              <w:t xml:space="preserve"> at 350 ºC</w:t>
            </w:r>
          </w:p>
        </w:tc>
        <w:tc>
          <w:tcPr>
            <w:tcW w:w="2695" w:type="dxa"/>
            <w:gridSpan w:val="3"/>
            <w:vAlign w:val="center"/>
          </w:tcPr>
          <w:p w14:paraId="59505574" w14:textId="77777777" w:rsidR="00AC31F4" w:rsidRPr="003F5F71" w:rsidRDefault="00AC31F4" w:rsidP="007C163B">
            <w:pPr>
              <w:ind w:firstLine="0"/>
              <w:jc w:val="center"/>
              <w:rPr>
                <w:b/>
                <w:sz w:val="16"/>
                <w:szCs w:val="18"/>
              </w:rPr>
            </w:pPr>
            <w:r>
              <w:rPr>
                <w:b/>
                <w:sz w:val="16"/>
                <w:szCs w:val="18"/>
              </w:rPr>
              <w:t xml:space="preserve">Chars produced </w:t>
            </w:r>
            <w:r w:rsidRPr="003F5F71">
              <w:rPr>
                <w:b/>
                <w:sz w:val="16"/>
                <w:szCs w:val="18"/>
              </w:rPr>
              <w:t>at 550 ºC</w:t>
            </w:r>
          </w:p>
        </w:tc>
        <w:tc>
          <w:tcPr>
            <w:tcW w:w="2693" w:type="dxa"/>
            <w:gridSpan w:val="3"/>
            <w:tcBorders>
              <w:right w:val="nil"/>
            </w:tcBorders>
            <w:vAlign w:val="center"/>
          </w:tcPr>
          <w:p w14:paraId="79EB3494" w14:textId="77777777" w:rsidR="00AC31F4" w:rsidRPr="003F5F71" w:rsidRDefault="00AC31F4" w:rsidP="007C163B">
            <w:pPr>
              <w:ind w:firstLine="0"/>
              <w:jc w:val="center"/>
              <w:rPr>
                <w:b/>
                <w:sz w:val="16"/>
                <w:szCs w:val="18"/>
              </w:rPr>
            </w:pPr>
            <w:r>
              <w:rPr>
                <w:b/>
                <w:sz w:val="16"/>
                <w:szCs w:val="18"/>
              </w:rPr>
              <w:t>Chars produced</w:t>
            </w:r>
            <w:r w:rsidRPr="003F5F71">
              <w:rPr>
                <w:b/>
                <w:sz w:val="16"/>
                <w:szCs w:val="18"/>
              </w:rPr>
              <w:t xml:space="preserve"> at 750 ºC</w:t>
            </w:r>
          </w:p>
        </w:tc>
      </w:tr>
      <w:tr w:rsidR="00AC31F4" w:rsidRPr="003F5F71" w14:paraId="549912BE" w14:textId="77777777" w:rsidTr="00DF30C2">
        <w:trPr>
          <w:trHeight w:val="402"/>
        </w:trPr>
        <w:tc>
          <w:tcPr>
            <w:tcW w:w="1101" w:type="dxa"/>
            <w:tcBorders>
              <w:top w:val="nil"/>
              <w:left w:val="nil"/>
              <w:right w:val="nil"/>
            </w:tcBorders>
            <w:vAlign w:val="center"/>
          </w:tcPr>
          <w:p w14:paraId="5ABCE895" w14:textId="77777777" w:rsidR="00AC31F4" w:rsidRPr="003F5F71" w:rsidRDefault="00AC31F4" w:rsidP="007C163B">
            <w:pPr>
              <w:ind w:firstLine="0"/>
              <w:jc w:val="center"/>
              <w:rPr>
                <w:sz w:val="16"/>
                <w:szCs w:val="18"/>
              </w:rPr>
            </w:pPr>
          </w:p>
        </w:tc>
        <w:tc>
          <w:tcPr>
            <w:tcW w:w="850" w:type="dxa"/>
            <w:tcBorders>
              <w:left w:val="nil"/>
              <w:right w:val="nil"/>
            </w:tcBorders>
            <w:vAlign w:val="center"/>
          </w:tcPr>
          <w:p w14:paraId="1C33743F" w14:textId="77777777" w:rsidR="00AC31F4" w:rsidRPr="003F5F71" w:rsidRDefault="00AC31F4" w:rsidP="007C163B">
            <w:pPr>
              <w:ind w:firstLine="0"/>
              <w:jc w:val="center"/>
              <w:rPr>
                <w:b/>
                <w:sz w:val="16"/>
                <w:szCs w:val="18"/>
              </w:rPr>
            </w:pPr>
            <w:r w:rsidRPr="003F5F71">
              <w:rPr>
                <w:b/>
                <w:sz w:val="16"/>
                <w:szCs w:val="18"/>
              </w:rPr>
              <w:t>C (%)</w:t>
            </w:r>
          </w:p>
        </w:tc>
        <w:tc>
          <w:tcPr>
            <w:tcW w:w="992" w:type="dxa"/>
            <w:tcBorders>
              <w:left w:val="nil"/>
              <w:right w:val="nil"/>
            </w:tcBorders>
            <w:vAlign w:val="center"/>
          </w:tcPr>
          <w:p w14:paraId="7CFF5FBD" w14:textId="77777777" w:rsidR="00AC31F4" w:rsidRPr="003F5F71" w:rsidRDefault="00AC31F4" w:rsidP="007C163B">
            <w:pPr>
              <w:ind w:firstLine="0"/>
              <w:jc w:val="center"/>
              <w:rPr>
                <w:b/>
                <w:sz w:val="16"/>
                <w:szCs w:val="18"/>
              </w:rPr>
            </w:pPr>
            <w:r w:rsidRPr="003F5F71">
              <w:rPr>
                <w:b/>
                <w:sz w:val="16"/>
                <w:szCs w:val="18"/>
              </w:rPr>
              <w:t>H (%)</w:t>
            </w:r>
          </w:p>
        </w:tc>
        <w:tc>
          <w:tcPr>
            <w:tcW w:w="850" w:type="dxa"/>
            <w:tcBorders>
              <w:left w:val="nil"/>
            </w:tcBorders>
            <w:vAlign w:val="center"/>
          </w:tcPr>
          <w:p w14:paraId="6C08C11B" w14:textId="77777777" w:rsidR="00AC31F4" w:rsidRPr="003F5F71" w:rsidRDefault="00AC31F4" w:rsidP="007C163B">
            <w:pPr>
              <w:ind w:firstLine="0"/>
              <w:jc w:val="center"/>
              <w:rPr>
                <w:b/>
                <w:sz w:val="16"/>
                <w:szCs w:val="18"/>
              </w:rPr>
            </w:pPr>
            <w:r w:rsidRPr="003F5F71">
              <w:rPr>
                <w:b/>
                <w:sz w:val="16"/>
                <w:szCs w:val="18"/>
              </w:rPr>
              <w:t>N (%)</w:t>
            </w:r>
          </w:p>
        </w:tc>
        <w:tc>
          <w:tcPr>
            <w:tcW w:w="851" w:type="dxa"/>
            <w:tcBorders>
              <w:right w:val="nil"/>
            </w:tcBorders>
            <w:vAlign w:val="center"/>
          </w:tcPr>
          <w:p w14:paraId="26E514C8" w14:textId="77777777" w:rsidR="00AC31F4" w:rsidRPr="003F5F71" w:rsidRDefault="00AC31F4" w:rsidP="007C163B">
            <w:pPr>
              <w:ind w:firstLine="0"/>
              <w:jc w:val="center"/>
              <w:rPr>
                <w:b/>
                <w:sz w:val="16"/>
                <w:szCs w:val="18"/>
              </w:rPr>
            </w:pPr>
            <w:r w:rsidRPr="003F5F71">
              <w:rPr>
                <w:b/>
                <w:sz w:val="16"/>
                <w:szCs w:val="18"/>
              </w:rPr>
              <w:t>C (%)</w:t>
            </w:r>
          </w:p>
        </w:tc>
        <w:tc>
          <w:tcPr>
            <w:tcW w:w="993" w:type="dxa"/>
            <w:tcBorders>
              <w:left w:val="nil"/>
              <w:right w:val="nil"/>
            </w:tcBorders>
            <w:vAlign w:val="center"/>
          </w:tcPr>
          <w:p w14:paraId="3D5B0CC1" w14:textId="77777777" w:rsidR="00AC31F4" w:rsidRPr="003F5F71" w:rsidRDefault="00AC31F4" w:rsidP="007C163B">
            <w:pPr>
              <w:ind w:firstLine="0"/>
              <w:jc w:val="center"/>
              <w:rPr>
                <w:b/>
                <w:sz w:val="16"/>
                <w:szCs w:val="18"/>
              </w:rPr>
            </w:pPr>
            <w:r w:rsidRPr="003F5F71">
              <w:rPr>
                <w:b/>
                <w:sz w:val="16"/>
                <w:szCs w:val="18"/>
              </w:rPr>
              <w:t>H (%)</w:t>
            </w:r>
          </w:p>
        </w:tc>
        <w:tc>
          <w:tcPr>
            <w:tcW w:w="851" w:type="dxa"/>
            <w:tcBorders>
              <w:left w:val="nil"/>
            </w:tcBorders>
            <w:vAlign w:val="center"/>
          </w:tcPr>
          <w:p w14:paraId="6905289E" w14:textId="77777777" w:rsidR="00AC31F4" w:rsidRPr="003F5F71" w:rsidRDefault="00AC31F4" w:rsidP="007C163B">
            <w:pPr>
              <w:ind w:firstLine="0"/>
              <w:jc w:val="center"/>
              <w:rPr>
                <w:b/>
                <w:sz w:val="16"/>
                <w:szCs w:val="18"/>
              </w:rPr>
            </w:pPr>
            <w:r w:rsidRPr="003F5F71">
              <w:rPr>
                <w:b/>
                <w:sz w:val="16"/>
                <w:szCs w:val="18"/>
              </w:rPr>
              <w:t>N (%)</w:t>
            </w:r>
          </w:p>
        </w:tc>
        <w:tc>
          <w:tcPr>
            <w:tcW w:w="850" w:type="dxa"/>
            <w:tcBorders>
              <w:right w:val="nil"/>
            </w:tcBorders>
            <w:vAlign w:val="center"/>
          </w:tcPr>
          <w:p w14:paraId="05F433CE" w14:textId="77777777" w:rsidR="00AC31F4" w:rsidRPr="003F5F71" w:rsidRDefault="00AC31F4" w:rsidP="007C163B">
            <w:pPr>
              <w:ind w:firstLine="0"/>
              <w:jc w:val="center"/>
              <w:rPr>
                <w:b/>
                <w:sz w:val="16"/>
                <w:szCs w:val="18"/>
              </w:rPr>
            </w:pPr>
            <w:r w:rsidRPr="003F5F71">
              <w:rPr>
                <w:b/>
                <w:sz w:val="16"/>
                <w:szCs w:val="18"/>
              </w:rPr>
              <w:t>C (%)</w:t>
            </w:r>
          </w:p>
        </w:tc>
        <w:tc>
          <w:tcPr>
            <w:tcW w:w="992" w:type="dxa"/>
            <w:tcBorders>
              <w:left w:val="nil"/>
              <w:right w:val="nil"/>
            </w:tcBorders>
            <w:vAlign w:val="center"/>
          </w:tcPr>
          <w:p w14:paraId="047429BA" w14:textId="77777777" w:rsidR="00AC31F4" w:rsidRPr="003F5F71" w:rsidRDefault="00AC31F4" w:rsidP="007C163B">
            <w:pPr>
              <w:ind w:firstLine="0"/>
              <w:jc w:val="center"/>
              <w:rPr>
                <w:b/>
                <w:sz w:val="16"/>
                <w:szCs w:val="18"/>
              </w:rPr>
            </w:pPr>
            <w:r w:rsidRPr="003F5F71">
              <w:rPr>
                <w:b/>
                <w:sz w:val="16"/>
                <w:szCs w:val="18"/>
              </w:rPr>
              <w:t>H (%)</w:t>
            </w:r>
          </w:p>
        </w:tc>
        <w:tc>
          <w:tcPr>
            <w:tcW w:w="851" w:type="dxa"/>
            <w:tcBorders>
              <w:left w:val="nil"/>
              <w:right w:val="nil"/>
            </w:tcBorders>
            <w:vAlign w:val="center"/>
          </w:tcPr>
          <w:p w14:paraId="77716769" w14:textId="77777777" w:rsidR="00AC31F4" w:rsidRPr="003F5F71" w:rsidRDefault="00AC31F4" w:rsidP="007C163B">
            <w:pPr>
              <w:ind w:firstLine="0"/>
              <w:jc w:val="center"/>
              <w:rPr>
                <w:b/>
                <w:sz w:val="16"/>
                <w:szCs w:val="18"/>
              </w:rPr>
            </w:pPr>
            <w:r w:rsidRPr="003F5F71">
              <w:rPr>
                <w:b/>
                <w:sz w:val="16"/>
                <w:szCs w:val="18"/>
              </w:rPr>
              <w:t>N (%)</w:t>
            </w:r>
          </w:p>
        </w:tc>
      </w:tr>
      <w:tr w:rsidR="00AC31F4" w:rsidRPr="003F5F71" w14:paraId="600220E3" w14:textId="77777777" w:rsidTr="00DF30C2">
        <w:trPr>
          <w:trHeight w:val="549"/>
        </w:trPr>
        <w:tc>
          <w:tcPr>
            <w:tcW w:w="1101" w:type="dxa"/>
            <w:tcBorders>
              <w:left w:val="nil"/>
            </w:tcBorders>
            <w:vAlign w:val="center"/>
          </w:tcPr>
          <w:p w14:paraId="0F70D692" w14:textId="77777777" w:rsidR="00AC31F4" w:rsidRPr="003F5F71" w:rsidRDefault="00AC31F4" w:rsidP="007C163B">
            <w:pPr>
              <w:pBdr>
                <w:top w:val="nil"/>
                <w:left w:val="nil"/>
                <w:bottom w:val="nil"/>
                <w:right w:val="nil"/>
                <w:between w:val="nil"/>
              </w:pBdr>
              <w:spacing w:line="276" w:lineRule="auto"/>
              <w:ind w:firstLine="0"/>
              <w:jc w:val="left"/>
              <w:rPr>
                <w:rFonts w:eastAsia="Helvetica Neue" w:cs="Arial"/>
                <w:b/>
                <w:color w:val="000000"/>
                <w:sz w:val="16"/>
                <w:szCs w:val="18"/>
              </w:rPr>
            </w:pPr>
            <w:r w:rsidRPr="003F5F71">
              <w:rPr>
                <w:rFonts w:eastAsia="Helvetica Neue"/>
                <w:b/>
                <w:color w:val="000000"/>
                <w:sz w:val="16"/>
                <w:szCs w:val="18"/>
              </w:rPr>
              <w:t>Collagene</w:t>
            </w:r>
          </w:p>
        </w:tc>
        <w:tc>
          <w:tcPr>
            <w:tcW w:w="850" w:type="dxa"/>
            <w:tcBorders>
              <w:right w:val="nil"/>
            </w:tcBorders>
            <w:vAlign w:val="center"/>
          </w:tcPr>
          <w:p w14:paraId="76E466D1" w14:textId="77777777" w:rsidR="00AC31F4" w:rsidRPr="003F5F71" w:rsidRDefault="00AC31F4" w:rsidP="007C163B">
            <w:pPr>
              <w:ind w:firstLine="0"/>
              <w:jc w:val="center"/>
              <w:rPr>
                <w:sz w:val="16"/>
                <w:szCs w:val="18"/>
              </w:rPr>
            </w:pPr>
            <w:r w:rsidRPr="003F5F71">
              <w:rPr>
                <w:sz w:val="16"/>
                <w:szCs w:val="18"/>
              </w:rPr>
              <w:t>56.7±0.7</w:t>
            </w:r>
          </w:p>
        </w:tc>
        <w:tc>
          <w:tcPr>
            <w:tcW w:w="992" w:type="dxa"/>
            <w:tcBorders>
              <w:left w:val="nil"/>
              <w:right w:val="nil"/>
            </w:tcBorders>
            <w:vAlign w:val="center"/>
          </w:tcPr>
          <w:p w14:paraId="33496094" w14:textId="2C95AA6C" w:rsidR="00AC31F4" w:rsidRPr="003F5F71" w:rsidRDefault="00AC31F4" w:rsidP="007C163B">
            <w:pPr>
              <w:ind w:firstLine="0"/>
              <w:jc w:val="center"/>
              <w:rPr>
                <w:sz w:val="16"/>
                <w:szCs w:val="18"/>
              </w:rPr>
            </w:pPr>
            <w:r w:rsidRPr="003F5F71">
              <w:rPr>
                <w:sz w:val="16"/>
                <w:szCs w:val="18"/>
              </w:rPr>
              <w:t>4.5</w:t>
            </w:r>
            <w:r w:rsidR="00DF30C2">
              <w:rPr>
                <w:sz w:val="16"/>
                <w:szCs w:val="18"/>
              </w:rPr>
              <w:t>0</w:t>
            </w:r>
            <w:r w:rsidRPr="003F5F71">
              <w:rPr>
                <w:sz w:val="16"/>
                <w:szCs w:val="18"/>
              </w:rPr>
              <w:t>±0.05</w:t>
            </w:r>
          </w:p>
        </w:tc>
        <w:tc>
          <w:tcPr>
            <w:tcW w:w="850" w:type="dxa"/>
            <w:tcBorders>
              <w:left w:val="nil"/>
            </w:tcBorders>
            <w:vAlign w:val="center"/>
          </w:tcPr>
          <w:p w14:paraId="210AE2F6" w14:textId="77777777" w:rsidR="00AC31F4" w:rsidRPr="003F5F71" w:rsidRDefault="00AC31F4" w:rsidP="007C163B">
            <w:pPr>
              <w:ind w:firstLine="0"/>
              <w:jc w:val="center"/>
              <w:rPr>
                <w:sz w:val="16"/>
                <w:szCs w:val="18"/>
              </w:rPr>
            </w:pPr>
            <w:r w:rsidRPr="003F5F71">
              <w:rPr>
                <w:sz w:val="16"/>
                <w:szCs w:val="18"/>
              </w:rPr>
              <w:t>14.6±0.2</w:t>
            </w:r>
          </w:p>
        </w:tc>
        <w:tc>
          <w:tcPr>
            <w:tcW w:w="851" w:type="dxa"/>
            <w:tcBorders>
              <w:right w:val="nil"/>
            </w:tcBorders>
            <w:vAlign w:val="center"/>
          </w:tcPr>
          <w:p w14:paraId="39B1BF00" w14:textId="77777777" w:rsidR="00AC31F4" w:rsidRPr="003F5F71" w:rsidRDefault="00AC31F4" w:rsidP="007C163B">
            <w:pPr>
              <w:ind w:firstLine="0"/>
              <w:jc w:val="center"/>
              <w:rPr>
                <w:sz w:val="16"/>
                <w:szCs w:val="18"/>
              </w:rPr>
            </w:pPr>
            <w:r w:rsidRPr="003F5F71">
              <w:rPr>
                <w:sz w:val="16"/>
                <w:szCs w:val="18"/>
              </w:rPr>
              <w:t>65±1</w:t>
            </w:r>
          </w:p>
        </w:tc>
        <w:tc>
          <w:tcPr>
            <w:tcW w:w="993" w:type="dxa"/>
            <w:tcBorders>
              <w:left w:val="nil"/>
              <w:right w:val="nil"/>
            </w:tcBorders>
            <w:vAlign w:val="center"/>
          </w:tcPr>
          <w:p w14:paraId="72F92F59" w14:textId="77777777" w:rsidR="00AC31F4" w:rsidRPr="003F5F71" w:rsidRDefault="00AC31F4" w:rsidP="007C163B">
            <w:pPr>
              <w:ind w:firstLine="0"/>
              <w:jc w:val="center"/>
              <w:rPr>
                <w:sz w:val="16"/>
                <w:szCs w:val="18"/>
              </w:rPr>
            </w:pPr>
            <w:r w:rsidRPr="003F5F71">
              <w:rPr>
                <w:sz w:val="16"/>
                <w:szCs w:val="18"/>
              </w:rPr>
              <w:t>2.6±0.2</w:t>
            </w:r>
          </w:p>
        </w:tc>
        <w:tc>
          <w:tcPr>
            <w:tcW w:w="851" w:type="dxa"/>
            <w:tcBorders>
              <w:left w:val="nil"/>
            </w:tcBorders>
            <w:vAlign w:val="center"/>
          </w:tcPr>
          <w:p w14:paraId="5C9A6D0E" w14:textId="1775666B" w:rsidR="00AC31F4" w:rsidRPr="003F5F71" w:rsidRDefault="00AC31F4" w:rsidP="007C163B">
            <w:pPr>
              <w:ind w:firstLine="0"/>
              <w:jc w:val="center"/>
              <w:rPr>
                <w:sz w:val="16"/>
                <w:szCs w:val="18"/>
              </w:rPr>
            </w:pPr>
            <w:r w:rsidRPr="003F5F71">
              <w:rPr>
                <w:sz w:val="16"/>
                <w:szCs w:val="18"/>
              </w:rPr>
              <w:t>14</w:t>
            </w:r>
            <w:r w:rsidR="00DF30C2">
              <w:rPr>
                <w:sz w:val="16"/>
                <w:szCs w:val="18"/>
              </w:rPr>
              <w:t>.0</w:t>
            </w:r>
            <w:r w:rsidRPr="003F5F71">
              <w:rPr>
                <w:sz w:val="16"/>
                <w:szCs w:val="18"/>
              </w:rPr>
              <w:t>±0.2</w:t>
            </w:r>
          </w:p>
        </w:tc>
        <w:tc>
          <w:tcPr>
            <w:tcW w:w="850" w:type="dxa"/>
            <w:tcBorders>
              <w:right w:val="nil"/>
            </w:tcBorders>
            <w:vAlign w:val="center"/>
          </w:tcPr>
          <w:p w14:paraId="2B56985D" w14:textId="77777777" w:rsidR="00AC31F4" w:rsidRPr="003F5F71" w:rsidRDefault="00AC31F4" w:rsidP="007C163B">
            <w:pPr>
              <w:ind w:firstLine="0"/>
              <w:jc w:val="center"/>
              <w:rPr>
                <w:sz w:val="16"/>
                <w:szCs w:val="18"/>
              </w:rPr>
            </w:pPr>
            <w:r w:rsidRPr="003F5F71">
              <w:rPr>
                <w:sz w:val="16"/>
                <w:szCs w:val="18"/>
              </w:rPr>
              <w:t>61±3</w:t>
            </w:r>
          </w:p>
        </w:tc>
        <w:tc>
          <w:tcPr>
            <w:tcW w:w="992" w:type="dxa"/>
            <w:tcBorders>
              <w:left w:val="nil"/>
              <w:right w:val="nil"/>
            </w:tcBorders>
            <w:vAlign w:val="center"/>
          </w:tcPr>
          <w:p w14:paraId="341FFF4D" w14:textId="77777777" w:rsidR="00AC31F4" w:rsidRPr="003F5F71" w:rsidRDefault="00AC31F4" w:rsidP="007C163B">
            <w:pPr>
              <w:ind w:firstLine="0"/>
              <w:jc w:val="center"/>
              <w:rPr>
                <w:sz w:val="16"/>
                <w:szCs w:val="18"/>
              </w:rPr>
            </w:pPr>
            <w:r w:rsidRPr="003F5F71">
              <w:rPr>
                <w:sz w:val="16"/>
                <w:szCs w:val="18"/>
              </w:rPr>
              <w:t>1.2±0.1</w:t>
            </w:r>
          </w:p>
        </w:tc>
        <w:tc>
          <w:tcPr>
            <w:tcW w:w="851" w:type="dxa"/>
            <w:tcBorders>
              <w:left w:val="nil"/>
              <w:right w:val="nil"/>
            </w:tcBorders>
            <w:vAlign w:val="center"/>
          </w:tcPr>
          <w:p w14:paraId="4A920CCE" w14:textId="77777777" w:rsidR="00AC31F4" w:rsidRPr="003F5F71" w:rsidRDefault="00AC31F4" w:rsidP="007C163B">
            <w:pPr>
              <w:ind w:firstLine="0"/>
              <w:jc w:val="center"/>
              <w:rPr>
                <w:sz w:val="16"/>
                <w:szCs w:val="18"/>
              </w:rPr>
            </w:pPr>
            <w:r w:rsidRPr="003F5F71">
              <w:rPr>
                <w:sz w:val="16"/>
                <w:szCs w:val="18"/>
              </w:rPr>
              <w:t>10.5±0.5</w:t>
            </w:r>
          </w:p>
        </w:tc>
      </w:tr>
      <w:tr w:rsidR="00AC31F4" w:rsidRPr="003F5F71" w14:paraId="55635E11" w14:textId="77777777" w:rsidTr="00DF30C2">
        <w:trPr>
          <w:trHeight w:val="557"/>
        </w:trPr>
        <w:tc>
          <w:tcPr>
            <w:tcW w:w="1101" w:type="dxa"/>
            <w:tcBorders>
              <w:left w:val="nil"/>
            </w:tcBorders>
            <w:vAlign w:val="center"/>
          </w:tcPr>
          <w:p w14:paraId="4CB48D70" w14:textId="77777777" w:rsidR="00AC31F4" w:rsidRPr="003F5F71" w:rsidRDefault="00AC31F4" w:rsidP="007C163B">
            <w:pPr>
              <w:pBdr>
                <w:top w:val="nil"/>
                <w:left w:val="nil"/>
                <w:bottom w:val="nil"/>
                <w:right w:val="nil"/>
                <w:between w:val="nil"/>
              </w:pBdr>
              <w:spacing w:line="276" w:lineRule="auto"/>
              <w:ind w:firstLine="0"/>
              <w:jc w:val="left"/>
              <w:rPr>
                <w:rFonts w:eastAsia="Helvetica Neue" w:cs="Arial"/>
                <w:b/>
                <w:color w:val="000000"/>
                <w:sz w:val="16"/>
                <w:szCs w:val="18"/>
              </w:rPr>
            </w:pPr>
            <w:r w:rsidRPr="003F5F71">
              <w:rPr>
                <w:rFonts w:eastAsia="Helvetica Neue" w:cs="Arial"/>
                <w:b/>
                <w:color w:val="000000"/>
                <w:sz w:val="16"/>
                <w:szCs w:val="18"/>
              </w:rPr>
              <w:t xml:space="preserve">Soybean </w:t>
            </w:r>
            <w:r w:rsidRPr="003F5F71">
              <w:rPr>
                <w:rFonts w:eastAsia="Helvetica Neue"/>
                <w:b/>
                <w:color w:val="000000"/>
                <w:sz w:val="16"/>
                <w:szCs w:val="18"/>
              </w:rPr>
              <w:t>p</w:t>
            </w:r>
            <w:r w:rsidRPr="003F5F71">
              <w:rPr>
                <w:rFonts w:eastAsia="Helvetica Neue" w:cs="Arial"/>
                <w:b/>
                <w:color w:val="000000"/>
                <w:sz w:val="16"/>
                <w:szCs w:val="18"/>
              </w:rPr>
              <w:t>rotein</w:t>
            </w:r>
          </w:p>
        </w:tc>
        <w:tc>
          <w:tcPr>
            <w:tcW w:w="850" w:type="dxa"/>
            <w:tcBorders>
              <w:right w:val="nil"/>
            </w:tcBorders>
            <w:vAlign w:val="center"/>
          </w:tcPr>
          <w:p w14:paraId="45A2EDE2" w14:textId="77777777" w:rsidR="00AC31F4" w:rsidRPr="003F5F71" w:rsidRDefault="00AC31F4" w:rsidP="007C163B">
            <w:pPr>
              <w:ind w:firstLine="0"/>
              <w:jc w:val="center"/>
              <w:rPr>
                <w:sz w:val="16"/>
                <w:szCs w:val="18"/>
              </w:rPr>
            </w:pPr>
            <w:r w:rsidRPr="003F5F71">
              <w:rPr>
                <w:sz w:val="16"/>
                <w:szCs w:val="18"/>
              </w:rPr>
              <w:t>58±2</w:t>
            </w:r>
          </w:p>
        </w:tc>
        <w:tc>
          <w:tcPr>
            <w:tcW w:w="992" w:type="dxa"/>
            <w:tcBorders>
              <w:left w:val="nil"/>
              <w:right w:val="nil"/>
            </w:tcBorders>
            <w:vAlign w:val="center"/>
          </w:tcPr>
          <w:p w14:paraId="168CDC08" w14:textId="0DE6C82D" w:rsidR="00AC31F4" w:rsidRPr="003F5F71" w:rsidRDefault="00AC31F4" w:rsidP="007C163B">
            <w:pPr>
              <w:ind w:firstLine="0"/>
              <w:jc w:val="center"/>
              <w:rPr>
                <w:sz w:val="16"/>
                <w:szCs w:val="18"/>
              </w:rPr>
            </w:pPr>
            <w:r w:rsidRPr="003F5F71">
              <w:rPr>
                <w:sz w:val="16"/>
                <w:szCs w:val="18"/>
              </w:rPr>
              <w:t>4.9</w:t>
            </w:r>
            <w:r w:rsidR="00DF30C2">
              <w:rPr>
                <w:sz w:val="16"/>
                <w:szCs w:val="18"/>
              </w:rPr>
              <w:t>0</w:t>
            </w:r>
            <w:r w:rsidRPr="003F5F71">
              <w:rPr>
                <w:sz w:val="16"/>
                <w:szCs w:val="18"/>
              </w:rPr>
              <w:t>±0.03</w:t>
            </w:r>
          </w:p>
        </w:tc>
        <w:tc>
          <w:tcPr>
            <w:tcW w:w="850" w:type="dxa"/>
            <w:tcBorders>
              <w:left w:val="nil"/>
            </w:tcBorders>
            <w:vAlign w:val="center"/>
          </w:tcPr>
          <w:p w14:paraId="34E1EC15" w14:textId="77777777" w:rsidR="00AC31F4" w:rsidRPr="003F5F71" w:rsidRDefault="00AC31F4" w:rsidP="007C163B">
            <w:pPr>
              <w:ind w:firstLine="0"/>
              <w:jc w:val="center"/>
              <w:rPr>
                <w:sz w:val="16"/>
                <w:szCs w:val="18"/>
              </w:rPr>
            </w:pPr>
            <w:r w:rsidRPr="003F5F71">
              <w:rPr>
                <w:sz w:val="16"/>
                <w:szCs w:val="18"/>
              </w:rPr>
              <w:t>13.7±0.9</w:t>
            </w:r>
          </w:p>
        </w:tc>
        <w:tc>
          <w:tcPr>
            <w:tcW w:w="851" w:type="dxa"/>
            <w:tcBorders>
              <w:right w:val="nil"/>
            </w:tcBorders>
            <w:vAlign w:val="center"/>
          </w:tcPr>
          <w:p w14:paraId="5A2ABEEA" w14:textId="77777777" w:rsidR="00AC31F4" w:rsidRPr="003F5F71" w:rsidRDefault="00AC31F4" w:rsidP="007C163B">
            <w:pPr>
              <w:ind w:firstLine="0"/>
              <w:jc w:val="center"/>
              <w:rPr>
                <w:sz w:val="16"/>
                <w:szCs w:val="18"/>
              </w:rPr>
            </w:pPr>
            <w:r w:rsidRPr="003F5F71">
              <w:rPr>
                <w:sz w:val="16"/>
                <w:szCs w:val="18"/>
              </w:rPr>
              <w:t>46±2</w:t>
            </w:r>
          </w:p>
        </w:tc>
        <w:tc>
          <w:tcPr>
            <w:tcW w:w="993" w:type="dxa"/>
            <w:tcBorders>
              <w:left w:val="nil"/>
              <w:right w:val="nil"/>
            </w:tcBorders>
            <w:vAlign w:val="center"/>
          </w:tcPr>
          <w:p w14:paraId="34EAF651" w14:textId="699A2DC1" w:rsidR="00AC31F4" w:rsidRPr="003F5F71" w:rsidRDefault="00AC31F4" w:rsidP="007C163B">
            <w:pPr>
              <w:ind w:firstLine="0"/>
              <w:jc w:val="center"/>
              <w:rPr>
                <w:sz w:val="16"/>
                <w:szCs w:val="18"/>
              </w:rPr>
            </w:pPr>
            <w:r w:rsidRPr="003F5F71">
              <w:rPr>
                <w:sz w:val="16"/>
                <w:szCs w:val="18"/>
              </w:rPr>
              <w:t>2.6</w:t>
            </w:r>
            <w:r w:rsidR="00DF30C2">
              <w:rPr>
                <w:sz w:val="16"/>
                <w:szCs w:val="18"/>
              </w:rPr>
              <w:t>0</w:t>
            </w:r>
            <w:r w:rsidRPr="003F5F71">
              <w:rPr>
                <w:sz w:val="16"/>
                <w:szCs w:val="18"/>
              </w:rPr>
              <w:t>±0.02</w:t>
            </w:r>
          </w:p>
        </w:tc>
        <w:tc>
          <w:tcPr>
            <w:tcW w:w="851" w:type="dxa"/>
            <w:tcBorders>
              <w:left w:val="nil"/>
            </w:tcBorders>
            <w:vAlign w:val="center"/>
          </w:tcPr>
          <w:p w14:paraId="34F85D10" w14:textId="77777777" w:rsidR="00AC31F4" w:rsidRPr="003F5F71" w:rsidRDefault="00AC31F4" w:rsidP="007C163B">
            <w:pPr>
              <w:ind w:firstLine="0"/>
              <w:jc w:val="center"/>
              <w:rPr>
                <w:sz w:val="16"/>
                <w:szCs w:val="18"/>
              </w:rPr>
            </w:pPr>
            <w:r w:rsidRPr="003F5F71">
              <w:rPr>
                <w:sz w:val="16"/>
                <w:szCs w:val="18"/>
              </w:rPr>
              <w:t>10.1±0.1</w:t>
            </w:r>
          </w:p>
        </w:tc>
        <w:tc>
          <w:tcPr>
            <w:tcW w:w="850" w:type="dxa"/>
            <w:tcBorders>
              <w:right w:val="nil"/>
            </w:tcBorders>
            <w:vAlign w:val="center"/>
          </w:tcPr>
          <w:p w14:paraId="37170E46" w14:textId="5ADA22EC" w:rsidR="00AC31F4" w:rsidRPr="003F5F71" w:rsidRDefault="00AC31F4" w:rsidP="007C163B">
            <w:pPr>
              <w:ind w:firstLine="0"/>
              <w:jc w:val="center"/>
              <w:rPr>
                <w:sz w:val="16"/>
                <w:szCs w:val="18"/>
              </w:rPr>
            </w:pPr>
            <w:r w:rsidRPr="003F5F71">
              <w:rPr>
                <w:sz w:val="16"/>
                <w:szCs w:val="18"/>
              </w:rPr>
              <w:t>56</w:t>
            </w:r>
            <w:r w:rsidR="00DF30C2">
              <w:rPr>
                <w:sz w:val="16"/>
                <w:szCs w:val="18"/>
              </w:rPr>
              <w:t>.0</w:t>
            </w:r>
            <w:r w:rsidRPr="003F5F71">
              <w:rPr>
                <w:sz w:val="16"/>
                <w:szCs w:val="18"/>
              </w:rPr>
              <w:t>±0.8</w:t>
            </w:r>
          </w:p>
        </w:tc>
        <w:tc>
          <w:tcPr>
            <w:tcW w:w="992" w:type="dxa"/>
            <w:tcBorders>
              <w:left w:val="nil"/>
              <w:right w:val="nil"/>
            </w:tcBorders>
            <w:vAlign w:val="center"/>
          </w:tcPr>
          <w:p w14:paraId="0A8B56A5" w14:textId="77777777" w:rsidR="00AC31F4" w:rsidRPr="003F5F71" w:rsidRDefault="00AC31F4" w:rsidP="007C163B">
            <w:pPr>
              <w:ind w:firstLine="0"/>
              <w:jc w:val="center"/>
              <w:rPr>
                <w:sz w:val="16"/>
                <w:szCs w:val="18"/>
              </w:rPr>
            </w:pPr>
            <w:r w:rsidRPr="003F5F71">
              <w:rPr>
                <w:sz w:val="16"/>
                <w:szCs w:val="18"/>
              </w:rPr>
              <w:t>1.3±0.1</w:t>
            </w:r>
          </w:p>
        </w:tc>
        <w:tc>
          <w:tcPr>
            <w:tcW w:w="851" w:type="dxa"/>
            <w:tcBorders>
              <w:left w:val="nil"/>
              <w:right w:val="nil"/>
            </w:tcBorders>
            <w:vAlign w:val="center"/>
          </w:tcPr>
          <w:p w14:paraId="1E87A8CC" w14:textId="77777777" w:rsidR="00AC31F4" w:rsidRPr="003F5F71" w:rsidRDefault="00AC31F4" w:rsidP="007C163B">
            <w:pPr>
              <w:ind w:firstLine="0"/>
              <w:jc w:val="center"/>
              <w:rPr>
                <w:sz w:val="16"/>
                <w:szCs w:val="18"/>
              </w:rPr>
            </w:pPr>
            <w:r w:rsidRPr="003F5F71">
              <w:rPr>
                <w:sz w:val="16"/>
                <w:szCs w:val="18"/>
              </w:rPr>
              <w:t>9.5±0.1</w:t>
            </w:r>
          </w:p>
        </w:tc>
      </w:tr>
      <w:tr w:rsidR="00AC31F4" w:rsidRPr="003F5F71" w14:paraId="0572ADD5" w14:textId="77777777" w:rsidTr="00DF30C2">
        <w:trPr>
          <w:trHeight w:val="551"/>
        </w:trPr>
        <w:tc>
          <w:tcPr>
            <w:tcW w:w="1101" w:type="dxa"/>
            <w:tcBorders>
              <w:left w:val="nil"/>
            </w:tcBorders>
            <w:vAlign w:val="center"/>
          </w:tcPr>
          <w:p w14:paraId="601CA8B6" w14:textId="77777777" w:rsidR="00AC31F4" w:rsidRPr="003F5F71" w:rsidRDefault="00AC31F4" w:rsidP="007C163B">
            <w:pPr>
              <w:pBdr>
                <w:top w:val="nil"/>
                <w:left w:val="nil"/>
                <w:bottom w:val="nil"/>
                <w:right w:val="nil"/>
                <w:between w:val="nil"/>
              </w:pBdr>
              <w:spacing w:line="276" w:lineRule="auto"/>
              <w:ind w:firstLine="0"/>
              <w:jc w:val="left"/>
              <w:rPr>
                <w:rFonts w:eastAsia="Helvetica Neue" w:cs="Arial"/>
                <w:b/>
                <w:color w:val="000000"/>
                <w:sz w:val="16"/>
                <w:szCs w:val="18"/>
              </w:rPr>
            </w:pPr>
            <w:r w:rsidRPr="003F5F71">
              <w:rPr>
                <w:rFonts w:eastAsia="Helvetica Neue" w:cs="Arial"/>
                <w:b/>
                <w:color w:val="000000"/>
                <w:sz w:val="16"/>
                <w:szCs w:val="18"/>
              </w:rPr>
              <w:t xml:space="preserve">Meat and </w:t>
            </w:r>
            <w:r w:rsidRPr="003F5F71">
              <w:rPr>
                <w:rFonts w:eastAsia="Helvetica Neue"/>
                <w:b/>
                <w:color w:val="000000"/>
                <w:sz w:val="16"/>
                <w:szCs w:val="18"/>
              </w:rPr>
              <w:t>b</w:t>
            </w:r>
            <w:r w:rsidRPr="003F5F71">
              <w:rPr>
                <w:rFonts w:eastAsia="Helvetica Neue" w:cs="Arial"/>
                <w:b/>
                <w:color w:val="000000"/>
                <w:sz w:val="16"/>
                <w:szCs w:val="18"/>
              </w:rPr>
              <w:t xml:space="preserve">one </w:t>
            </w:r>
            <w:r w:rsidRPr="003F5F71">
              <w:rPr>
                <w:rFonts w:eastAsia="Helvetica Neue"/>
                <w:b/>
                <w:color w:val="000000"/>
                <w:sz w:val="16"/>
                <w:szCs w:val="18"/>
              </w:rPr>
              <w:t>m</w:t>
            </w:r>
            <w:r w:rsidRPr="003F5F71">
              <w:rPr>
                <w:rFonts w:eastAsia="Helvetica Neue" w:cs="Arial"/>
                <w:b/>
                <w:color w:val="000000"/>
                <w:sz w:val="16"/>
                <w:szCs w:val="18"/>
              </w:rPr>
              <w:t>eal</w:t>
            </w:r>
          </w:p>
        </w:tc>
        <w:tc>
          <w:tcPr>
            <w:tcW w:w="850" w:type="dxa"/>
            <w:tcBorders>
              <w:right w:val="nil"/>
            </w:tcBorders>
            <w:vAlign w:val="center"/>
          </w:tcPr>
          <w:p w14:paraId="46813598" w14:textId="77777777" w:rsidR="00AC31F4" w:rsidRPr="003F5F71" w:rsidRDefault="00AC31F4" w:rsidP="007C163B">
            <w:pPr>
              <w:ind w:firstLine="0"/>
              <w:jc w:val="center"/>
              <w:rPr>
                <w:sz w:val="16"/>
                <w:szCs w:val="18"/>
              </w:rPr>
            </w:pPr>
            <w:r w:rsidRPr="003F5F71">
              <w:rPr>
                <w:sz w:val="16"/>
                <w:szCs w:val="18"/>
              </w:rPr>
              <w:t>41±1</w:t>
            </w:r>
          </w:p>
        </w:tc>
        <w:tc>
          <w:tcPr>
            <w:tcW w:w="992" w:type="dxa"/>
            <w:tcBorders>
              <w:left w:val="nil"/>
              <w:right w:val="nil"/>
            </w:tcBorders>
            <w:vAlign w:val="center"/>
          </w:tcPr>
          <w:p w14:paraId="65F1DC23" w14:textId="77777777" w:rsidR="00AC31F4" w:rsidRPr="003F5F71" w:rsidRDefault="00AC31F4" w:rsidP="007C163B">
            <w:pPr>
              <w:ind w:firstLine="0"/>
              <w:jc w:val="center"/>
              <w:rPr>
                <w:sz w:val="16"/>
                <w:szCs w:val="18"/>
              </w:rPr>
            </w:pPr>
            <w:r w:rsidRPr="003F5F71">
              <w:rPr>
                <w:sz w:val="16"/>
                <w:szCs w:val="18"/>
              </w:rPr>
              <w:t>3.7±0.3</w:t>
            </w:r>
          </w:p>
        </w:tc>
        <w:tc>
          <w:tcPr>
            <w:tcW w:w="850" w:type="dxa"/>
            <w:tcBorders>
              <w:left w:val="nil"/>
            </w:tcBorders>
            <w:vAlign w:val="center"/>
          </w:tcPr>
          <w:p w14:paraId="0A971557" w14:textId="77777777" w:rsidR="00AC31F4" w:rsidRPr="003F5F71" w:rsidRDefault="00AC31F4" w:rsidP="007C163B">
            <w:pPr>
              <w:ind w:firstLine="0"/>
              <w:jc w:val="center"/>
              <w:rPr>
                <w:sz w:val="16"/>
                <w:szCs w:val="18"/>
              </w:rPr>
            </w:pPr>
            <w:r w:rsidRPr="003F5F71">
              <w:rPr>
                <w:sz w:val="16"/>
                <w:szCs w:val="18"/>
              </w:rPr>
              <w:t>8.4±0.4</w:t>
            </w:r>
          </w:p>
        </w:tc>
        <w:tc>
          <w:tcPr>
            <w:tcW w:w="851" w:type="dxa"/>
            <w:tcBorders>
              <w:right w:val="nil"/>
            </w:tcBorders>
            <w:vAlign w:val="center"/>
          </w:tcPr>
          <w:p w14:paraId="611A7049" w14:textId="6490EAA8" w:rsidR="00AC31F4" w:rsidRPr="003F5F71" w:rsidRDefault="00AC31F4" w:rsidP="007C163B">
            <w:pPr>
              <w:ind w:firstLine="0"/>
              <w:jc w:val="center"/>
              <w:rPr>
                <w:sz w:val="16"/>
                <w:szCs w:val="18"/>
              </w:rPr>
            </w:pPr>
            <w:r w:rsidRPr="003F5F71">
              <w:rPr>
                <w:sz w:val="16"/>
                <w:szCs w:val="18"/>
              </w:rPr>
              <w:t>39</w:t>
            </w:r>
            <w:r w:rsidR="00DF30C2">
              <w:rPr>
                <w:sz w:val="16"/>
                <w:szCs w:val="18"/>
              </w:rPr>
              <w:t>.0</w:t>
            </w:r>
            <w:r w:rsidRPr="003F5F71">
              <w:rPr>
                <w:sz w:val="16"/>
                <w:szCs w:val="18"/>
              </w:rPr>
              <w:t>±0.9</w:t>
            </w:r>
          </w:p>
        </w:tc>
        <w:tc>
          <w:tcPr>
            <w:tcW w:w="993" w:type="dxa"/>
            <w:tcBorders>
              <w:left w:val="nil"/>
              <w:right w:val="nil"/>
            </w:tcBorders>
            <w:vAlign w:val="center"/>
          </w:tcPr>
          <w:p w14:paraId="4E529DE0" w14:textId="77777777" w:rsidR="00AC31F4" w:rsidRPr="003F5F71" w:rsidRDefault="00AC31F4" w:rsidP="007C163B">
            <w:pPr>
              <w:ind w:firstLine="0"/>
              <w:jc w:val="center"/>
              <w:rPr>
                <w:sz w:val="16"/>
                <w:szCs w:val="18"/>
              </w:rPr>
            </w:pPr>
            <w:r w:rsidRPr="003F5F71">
              <w:rPr>
                <w:sz w:val="16"/>
                <w:szCs w:val="18"/>
              </w:rPr>
              <w:t>1.5±0.2</w:t>
            </w:r>
          </w:p>
        </w:tc>
        <w:tc>
          <w:tcPr>
            <w:tcW w:w="851" w:type="dxa"/>
            <w:tcBorders>
              <w:left w:val="nil"/>
            </w:tcBorders>
            <w:vAlign w:val="center"/>
          </w:tcPr>
          <w:p w14:paraId="527F6FCB" w14:textId="77777777" w:rsidR="00AC31F4" w:rsidRPr="003F5F71" w:rsidRDefault="00AC31F4" w:rsidP="007C163B">
            <w:pPr>
              <w:ind w:firstLine="0"/>
              <w:jc w:val="center"/>
              <w:rPr>
                <w:sz w:val="16"/>
                <w:szCs w:val="18"/>
              </w:rPr>
            </w:pPr>
            <w:r w:rsidRPr="003F5F71">
              <w:rPr>
                <w:sz w:val="16"/>
                <w:szCs w:val="18"/>
              </w:rPr>
              <w:t>6.5±0.1</w:t>
            </w:r>
          </w:p>
        </w:tc>
        <w:tc>
          <w:tcPr>
            <w:tcW w:w="850" w:type="dxa"/>
            <w:tcBorders>
              <w:right w:val="nil"/>
            </w:tcBorders>
            <w:vAlign w:val="center"/>
          </w:tcPr>
          <w:p w14:paraId="7DF09B47" w14:textId="77777777" w:rsidR="00AC31F4" w:rsidRPr="003F5F71" w:rsidRDefault="00AC31F4" w:rsidP="007C163B">
            <w:pPr>
              <w:ind w:firstLine="0"/>
              <w:jc w:val="center"/>
              <w:rPr>
                <w:sz w:val="16"/>
                <w:szCs w:val="18"/>
              </w:rPr>
            </w:pPr>
            <w:r w:rsidRPr="003F5F71">
              <w:rPr>
                <w:sz w:val="16"/>
                <w:szCs w:val="18"/>
              </w:rPr>
              <w:t>36.4±0.1</w:t>
            </w:r>
          </w:p>
        </w:tc>
        <w:tc>
          <w:tcPr>
            <w:tcW w:w="992" w:type="dxa"/>
            <w:tcBorders>
              <w:left w:val="nil"/>
              <w:right w:val="nil"/>
            </w:tcBorders>
            <w:vAlign w:val="center"/>
          </w:tcPr>
          <w:p w14:paraId="1281FF83" w14:textId="77777777" w:rsidR="00AC31F4" w:rsidRPr="003F5F71" w:rsidRDefault="00AC31F4" w:rsidP="007C163B">
            <w:pPr>
              <w:ind w:firstLine="0"/>
              <w:jc w:val="center"/>
              <w:rPr>
                <w:sz w:val="16"/>
                <w:szCs w:val="18"/>
              </w:rPr>
            </w:pPr>
            <w:r w:rsidRPr="003F5F71">
              <w:rPr>
                <w:sz w:val="16"/>
                <w:szCs w:val="18"/>
              </w:rPr>
              <w:t>0.68±0.01</w:t>
            </w:r>
          </w:p>
        </w:tc>
        <w:tc>
          <w:tcPr>
            <w:tcW w:w="851" w:type="dxa"/>
            <w:tcBorders>
              <w:left w:val="nil"/>
              <w:right w:val="nil"/>
            </w:tcBorders>
            <w:vAlign w:val="center"/>
          </w:tcPr>
          <w:p w14:paraId="2033FCB7" w14:textId="77777777" w:rsidR="00AC31F4" w:rsidRPr="003F5F71" w:rsidRDefault="00AC31F4" w:rsidP="007C163B">
            <w:pPr>
              <w:ind w:firstLine="0"/>
              <w:jc w:val="center"/>
              <w:rPr>
                <w:sz w:val="16"/>
                <w:szCs w:val="18"/>
              </w:rPr>
            </w:pPr>
            <w:r w:rsidRPr="003F5F71">
              <w:rPr>
                <w:sz w:val="16"/>
                <w:szCs w:val="18"/>
              </w:rPr>
              <w:t>4.9±0.1</w:t>
            </w:r>
          </w:p>
        </w:tc>
      </w:tr>
      <w:tr w:rsidR="00AC31F4" w:rsidRPr="003F5F71" w14:paraId="645B0DE5" w14:textId="77777777" w:rsidTr="00DF30C2">
        <w:trPr>
          <w:trHeight w:val="573"/>
        </w:trPr>
        <w:tc>
          <w:tcPr>
            <w:tcW w:w="1101" w:type="dxa"/>
            <w:tcBorders>
              <w:left w:val="nil"/>
            </w:tcBorders>
            <w:vAlign w:val="center"/>
          </w:tcPr>
          <w:p w14:paraId="1B838472" w14:textId="77777777" w:rsidR="00AC31F4" w:rsidRPr="003F5F71" w:rsidRDefault="00AC31F4" w:rsidP="007C163B">
            <w:pPr>
              <w:spacing w:line="276" w:lineRule="auto"/>
              <w:ind w:firstLine="0"/>
              <w:jc w:val="left"/>
              <w:rPr>
                <w:rFonts w:cs="Arial"/>
                <w:b/>
                <w:sz w:val="16"/>
                <w:szCs w:val="18"/>
              </w:rPr>
            </w:pPr>
            <w:r w:rsidRPr="003F5F71">
              <w:rPr>
                <w:rFonts w:cs="Arial"/>
                <w:b/>
                <w:sz w:val="16"/>
                <w:szCs w:val="18"/>
              </w:rPr>
              <w:t>Digested manure</w:t>
            </w:r>
          </w:p>
        </w:tc>
        <w:tc>
          <w:tcPr>
            <w:tcW w:w="850" w:type="dxa"/>
            <w:tcBorders>
              <w:right w:val="nil"/>
            </w:tcBorders>
            <w:vAlign w:val="center"/>
          </w:tcPr>
          <w:p w14:paraId="1F7CC882" w14:textId="77777777" w:rsidR="00AC31F4" w:rsidRPr="003F5F71" w:rsidRDefault="00AC31F4" w:rsidP="007C163B">
            <w:pPr>
              <w:ind w:firstLine="0"/>
              <w:jc w:val="center"/>
              <w:rPr>
                <w:sz w:val="16"/>
                <w:szCs w:val="18"/>
              </w:rPr>
            </w:pPr>
            <w:r w:rsidRPr="003F5F71">
              <w:rPr>
                <w:sz w:val="16"/>
                <w:szCs w:val="18"/>
              </w:rPr>
              <w:t>32.6</w:t>
            </w:r>
          </w:p>
        </w:tc>
        <w:tc>
          <w:tcPr>
            <w:tcW w:w="992" w:type="dxa"/>
            <w:tcBorders>
              <w:left w:val="nil"/>
              <w:right w:val="nil"/>
            </w:tcBorders>
            <w:vAlign w:val="center"/>
          </w:tcPr>
          <w:p w14:paraId="1124D475" w14:textId="77777777" w:rsidR="00AC31F4" w:rsidRPr="003F5F71" w:rsidRDefault="00AC31F4" w:rsidP="007C163B">
            <w:pPr>
              <w:ind w:firstLine="0"/>
              <w:jc w:val="center"/>
              <w:rPr>
                <w:sz w:val="16"/>
                <w:szCs w:val="18"/>
              </w:rPr>
            </w:pPr>
            <w:r w:rsidRPr="003F5F71">
              <w:rPr>
                <w:sz w:val="16"/>
                <w:szCs w:val="18"/>
              </w:rPr>
              <w:t>2.5</w:t>
            </w:r>
          </w:p>
        </w:tc>
        <w:tc>
          <w:tcPr>
            <w:tcW w:w="850" w:type="dxa"/>
            <w:tcBorders>
              <w:left w:val="nil"/>
            </w:tcBorders>
            <w:vAlign w:val="center"/>
          </w:tcPr>
          <w:p w14:paraId="4CF74CF1" w14:textId="77777777" w:rsidR="00AC31F4" w:rsidRPr="003F5F71" w:rsidRDefault="00AC31F4" w:rsidP="007C163B">
            <w:pPr>
              <w:ind w:firstLine="0"/>
              <w:jc w:val="center"/>
              <w:rPr>
                <w:sz w:val="16"/>
                <w:szCs w:val="18"/>
              </w:rPr>
            </w:pPr>
            <w:r w:rsidRPr="003F5F71">
              <w:rPr>
                <w:sz w:val="16"/>
                <w:szCs w:val="18"/>
              </w:rPr>
              <w:t>2.1</w:t>
            </w:r>
          </w:p>
        </w:tc>
        <w:tc>
          <w:tcPr>
            <w:tcW w:w="851" w:type="dxa"/>
            <w:tcBorders>
              <w:right w:val="nil"/>
            </w:tcBorders>
            <w:vAlign w:val="center"/>
          </w:tcPr>
          <w:p w14:paraId="464F9B7B" w14:textId="1EE3A47F" w:rsidR="00AC31F4" w:rsidRPr="003F5F71" w:rsidRDefault="00AC31F4" w:rsidP="007C163B">
            <w:pPr>
              <w:ind w:firstLine="0"/>
              <w:jc w:val="center"/>
              <w:rPr>
                <w:sz w:val="16"/>
                <w:szCs w:val="18"/>
              </w:rPr>
            </w:pPr>
            <w:r w:rsidRPr="003F5F71">
              <w:rPr>
                <w:sz w:val="16"/>
                <w:szCs w:val="18"/>
              </w:rPr>
              <w:t>37</w:t>
            </w:r>
            <w:r w:rsidR="00485250">
              <w:rPr>
                <w:sz w:val="16"/>
                <w:szCs w:val="18"/>
              </w:rPr>
              <w:t>.0</w:t>
            </w:r>
          </w:p>
        </w:tc>
        <w:tc>
          <w:tcPr>
            <w:tcW w:w="993" w:type="dxa"/>
            <w:tcBorders>
              <w:left w:val="nil"/>
              <w:right w:val="nil"/>
            </w:tcBorders>
            <w:vAlign w:val="center"/>
          </w:tcPr>
          <w:p w14:paraId="770CA708" w14:textId="77777777" w:rsidR="00AC31F4" w:rsidRPr="003F5F71" w:rsidRDefault="00AC31F4" w:rsidP="007C163B">
            <w:pPr>
              <w:ind w:firstLine="0"/>
              <w:jc w:val="center"/>
              <w:rPr>
                <w:sz w:val="16"/>
                <w:szCs w:val="18"/>
              </w:rPr>
            </w:pPr>
            <w:r w:rsidRPr="003F5F71">
              <w:rPr>
                <w:sz w:val="16"/>
                <w:szCs w:val="18"/>
              </w:rPr>
              <w:t>1.5</w:t>
            </w:r>
          </w:p>
        </w:tc>
        <w:tc>
          <w:tcPr>
            <w:tcW w:w="851" w:type="dxa"/>
            <w:tcBorders>
              <w:left w:val="nil"/>
            </w:tcBorders>
            <w:vAlign w:val="center"/>
          </w:tcPr>
          <w:p w14:paraId="3B70C695" w14:textId="77777777" w:rsidR="00AC31F4" w:rsidRPr="003F5F71" w:rsidRDefault="00AC31F4" w:rsidP="007C163B">
            <w:pPr>
              <w:ind w:firstLine="0"/>
              <w:jc w:val="center"/>
              <w:rPr>
                <w:sz w:val="16"/>
                <w:szCs w:val="18"/>
              </w:rPr>
            </w:pPr>
            <w:r w:rsidRPr="003F5F71">
              <w:rPr>
                <w:sz w:val="16"/>
                <w:szCs w:val="18"/>
              </w:rPr>
              <w:t>2.3</w:t>
            </w:r>
          </w:p>
        </w:tc>
        <w:tc>
          <w:tcPr>
            <w:tcW w:w="850" w:type="dxa"/>
            <w:tcBorders>
              <w:right w:val="nil"/>
            </w:tcBorders>
            <w:vAlign w:val="center"/>
          </w:tcPr>
          <w:p w14:paraId="707F1286" w14:textId="77777777" w:rsidR="00AC31F4" w:rsidRPr="003F5F71" w:rsidRDefault="00AC31F4" w:rsidP="007C163B">
            <w:pPr>
              <w:ind w:firstLine="0"/>
              <w:jc w:val="center"/>
              <w:rPr>
                <w:sz w:val="16"/>
                <w:szCs w:val="18"/>
              </w:rPr>
            </w:pPr>
            <w:r w:rsidRPr="003F5F71">
              <w:rPr>
                <w:sz w:val="16"/>
                <w:szCs w:val="18"/>
              </w:rPr>
              <w:t>36.2</w:t>
            </w:r>
          </w:p>
        </w:tc>
        <w:tc>
          <w:tcPr>
            <w:tcW w:w="992" w:type="dxa"/>
            <w:tcBorders>
              <w:left w:val="nil"/>
              <w:right w:val="nil"/>
            </w:tcBorders>
            <w:vAlign w:val="center"/>
          </w:tcPr>
          <w:p w14:paraId="55F69B0F" w14:textId="77777777" w:rsidR="00AC31F4" w:rsidRPr="003F5F71" w:rsidRDefault="00AC31F4" w:rsidP="007C163B">
            <w:pPr>
              <w:ind w:firstLine="0"/>
              <w:jc w:val="center"/>
              <w:rPr>
                <w:sz w:val="16"/>
                <w:szCs w:val="18"/>
              </w:rPr>
            </w:pPr>
            <w:r w:rsidRPr="003F5F71">
              <w:rPr>
                <w:sz w:val="16"/>
                <w:szCs w:val="18"/>
              </w:rPr>
              <w:t>0.5</w:t>
            </w:r>
          </w:p>
        </w:tc>
        <w:tc>
          <w:tcPr>
            <w:tcW w:w="851" w:type="dxa"/>
            <w:tcBorders>
              <w:left w:val="nil"/>
              <w:right w:val="nil"/>
            </w:tcBorders>
            <w:vAlign w:val="center"/>
          </w:tcPr>
          <w:p w14:paraId="70A77C5E" w14:textId="77777777" w:rsidR="00AC31F4" w:rsidRPr="003F5F71" w:rsidRDefault="00AC31F4" w:rsidP="007C163B">
            <w:pPr>
              <w:ind w:firstLine="0"/>
              <w:jc w:val="center"/>
              <w:rPr>
                <w:sz w:val="16"/>
                <w:szCs w:val="18"/>
              </w:rPr>
            </w:pPr>
            <w:r w:rsidRPr="003F5F71">
              <w:rPr>
                <w:sz w:val="16"/>
                <w:szCs w:val="18"/>
              </w:rPr>
              <w:t>1.2</w:t>
            </w:r>
          </w:p>
        </w:tc>
      </w:tr>
    </w:tbl>
    <w:p w14:paraId="2602F9E1" w14:textId="77777777" w:rsidR="00962B48" w:rsidRDefault="00962B48" w:rsidP="00AC31F4">
      <w:pPr>
        <w:spacing w:before="240" w:after="120"/>
        <w:ind w:firstLine="0"/>
        <w:rPr>
          <w:i/>
        </w:rPr>
      </w:pPr>
    </w:p>
    <w:p w14:paraId="7F75A2D5" w14:textId="1BA517ED" w:rsidR="00E46261" w:rsidRDefault="000211DB" w:rsidP="000211DB">
      <w:pPr>
        <w:rPr>
          <w:i/>
        </w:rPr>
      </w:pPr>
      <w:r>
        <w:lastRenderedPageBreak/>
        <w:t>The CO</w:t>
      </w:r>
      <w:r w:rsidRPr="00413C71">
        <w:rPr>
          <w:vertAlign w:val="subscript"/>
        </w:rPr>
        <w:t>2</w:t>
      </w:r>
      <w:r>
        <w:t xml:space="preserve"> adsorption capacity of chars can be enhanced by increasing the alkalinity of its surface </w:t>
      </w:r>
      <w:r>
        <w:fldChar w:fldCharType="begin" w:fldLock="1"/>
      </w:r>
      <w:r>
        <w:instrText>ADDIN CSL_CITATION {"citationItems":[{"id":"ITEM-1","itemData":{"DOI":"10.1016/j.rser.2019.109582","ISSN":"18790690","abstract":"Carbon dioxide (CO2) is the main anthropogenic greenhouse gas contributing to global warming, causing tremendous impacts on the global ecosystem. Fossil fuel combustion is the main anthropogenic source of CO2 emissions. Biochar, a porous carbonaceous material produced through the thermochemical conversion of organic materials in oxygen-depleted conditions, is emerging as a cost-effective green sorbent to maintain environmental quality by capturing CO2. Currently, the modification of biochar using different physico-chemical processes, as well as the synthesis of biochar composites to enhance the contaminant sorption capacity, has drawn significant interest from the scientific community, which could also be used for capturing CO2. This review summarizes and evaluates the potential of using pristine and engineered biochar as CO2 capturing media, as well as the factors influencing the CO2 adsorption capacity of biochar and issues related to the synthesis of biochar-based CO2 adsorbents. The CO2 adsorption capacity of biochar is greatly governed by physico-chemical properties of biochar such as specific surface area, microporosity, aromaticity, hydrophobicity and the presence of basic functional groups which are influenced by feedstock type and production conditions of biochar. Micropore area (R2 = 0.9032, n = 32) and micropore volume (R2 = 0.8793, n = 32) showed a significant positive relationship with CO2 adsorption capacity of biochar. These properties of biochar are closely related to the type of feedstock and the thermochemical conditions of biochar production. Engineered biochar significantly increases CO2 adsorption capacity of pristine biochar due to modification of surface properties. Despite the progress in biochar development, further studies should be conducted to develop cost-effective, sustainable biochar-based composites for use in large-scale CO2 capture.","author":[{"dropping-particle":"","family":"Dissanayake","given":"Pavani Dulanja","non-dropping-particle":"","parse-names":false,"suffix":""},{"dropping-particle":"","family":"You","given":"Siming","non-dropping-particle":"","parse-names":false,"suffix":""},{"dropping-particle":"","family":"Igalavithana","given":"Avanthi Deshani","non-dropping-particle":"","parse-names":false,"suffix":""},{"dropping-particle":"","family":"Xia","given":"Yinfeng","non-dropping-particle":"","parse-names":false,"suffix":""},{"dropping-particle":"","family":"Bhatnagar","given":"Amit","non-dropping-particle":"","parse-names":false,"suffix":""},{"dropping-particle":"","family":"Gupta","given":"Souradeep","non-dropping-particle":"","parse-names":false,"suffix":""},{"dropping-particle":"","family":"Kua","given":"Harn Wei","non-dropping-particle":"","parse-names":false,"suffix":""},{"dropping-particle":"","family":"Kim","given":"Sumin","non-dropping-particle":"","parse-names":false,"suffix":""},{"dropping-particle":"","family":"Kwon","given":"Jung Hwan","non-dropping-particle":"","parse-names":false,"suffix":""},{"dropping-particle":"","family":"Tsang","given":"Daniel C.W.","non-dropping-particle":"","parse-names":false,"suffix":""},{"dropping-particle":"","family":"Ok","given":"Yong Sik","non-dropping-particle":"","parse-names":false,"suffix":""}],"container-title":"Renewable and Sustainable Energy Reviews","id":"ITEM-1","issued":{"date-parts":[["2020","3","1"]]},"page":"109582","publisher":"Elsevier Ltd","title":"Biochar-based adsorbents for carbon dioxide capture: A critical review","type":"article-journal","volume":"119"},"uris":["http://www.mendeley.com/documents/?uuid=db9079dc-a920-3507-8919-6de528e5ae34"]}],"mendeley":{"formattedCitation":"(Dissanayake et al., 2020)","plainTextFormattedCitation":"(Dissanayake et al., 2020)","previouslyFormattedCitation":"(Dissanayake et al., 2020)"},"properties":{"noteIndex":0},"schema":"https://github.com/citation-style-language/schema/raw/master/csl-citation.json"}</w:instrText>
      </w:r>
      <w:r>
        <w:fldChar w:fldCharType="separate"/>
      </w:r>
      <w:r w:rsidRPr="009504A2">
        <w:rPr>
          <w:noProof/>
        </w:rPr>
        <w:t>(Dissanayake et al., 2020)</w:t>
      </w:r>
      <w:r>
        <w:fldChar w:fldCharType="end"/>
      </w:r>
      <w:r>
        <w:t>. Nitrogen-containing functional groups (e.g., amide, imide, pyridinic, pyrrolic, and lactam groups) can contribute to the surface basicity of biochars and promote the CO</w:t>
      </w:r>
      <w:r w:rsidRPr="00690EA1">
        <w:rPr>
          <w:vertAlign w:val="subscript"/>
        </w:rPr>
        <w:t>2</w:t>
      </w:r>
      <w:r>
        <w:t xml:space="preserve"> adsorption </w:t>
      </w:r>
      <w:r>
        <w:fldChar w:fldCharType="begin" w:fldLock="1"/>
      </w:r>
      <w:r>
        <w:instrText>ADDIN CSL_CITATION {"citationItems":[{"id":"ITEM-1","itemData":{"DOI":"10.1016/j.fuel.2020.118525","ISSN":"00162361","abstract":"Digestate from Anaerobic Digestion (AD) is a very common waste produced by European biogas plants and its current method of reuse is as a fertilizer or as soil amendment. This in turn however gives rise to some other environmental concerns which include greenhouse gas emissions and volatilization of ammonia causing ammonia pollution. Biochar is an environmentally friendly and low-cost product for CO2 capture and sequestration. Thus, we have provided one simple method to convert AD digestate into biochar-based sorbents of CO2. In addition, the nitrogen-functionalised porous carbon has been reported to be effective in improving the uptake of CO2. However, most of them were prepared using multiple steps. In this work, N-doped biochar was prepared by a one-step method of modifying AD digestate by urea. The results show that the addition of N can increase CO2 uptake significantly. Thus, the adsorbent modified by urea with a ratio of 1:1 results in the highest CO2 uptake capacity (1.22 mmol g−1), indicating digestate's potential application for carbon capture and storage.","author":[{"dropping-particle":"","family":"Qiao","given":"Yuanting","non-dropping-particle":"","parse-names":false,"suffix":""},{"dropping-particle":"","family":"Zhang","given":"Shuming","non-dropping-particle":"","parse-names":false,"suffix":""},{"dropping-particle":"","family":"Quan","given":"Cui","non-dropping-particle":"","parse-names":false,"suffix":""},{"dropping-particle":"","family":"Gao","given":"Ningbo","non-dropping-particle":"","parse-names":false,"suffix":""},{"dropping-particle":"","family":"Johnston","given":"Chris","non-dropping-particle":"","parse-names":false,"suffix":""},{"dropping-particle":"","family":"Wu","given":"Chunfei","non-dropping-particle":"","parse-names":false,"suffix":""}],"container-title":"Fuel","id":"ITEM-1","issued":{"date-parts":[["2020","11","1"]]},"note":"Pirólisis (400-600 ºC) de digestato seco de purines y ensilaje en lecho fijo (reactor de cuarzo 25 cm de largo). Experimentos añadiendo también urea en la pirólisis.\n\nCaracterización de las muestras de biochar: AE, AI, FTIR, SEM, Isotermas de adsorción de N2 y área BET. \n\nIsotermas de adsorción de CO2 (25ºc) medidas en el analizador de porosidad.\n\nLas isotermas obtenidas con N2 son del tipo III, pero la forma de las obtenidas con CO2 no.¿?\n\nLa mejora en la capacidad de adsorción de CO2 tras el tratamiento con urea parece estar más relacionada con un mayor % de N en el sólido que con cambios en sus propiedades estructurales y superficiales (el área BET y el Vporo llegan incluso a disminuir con el tratamiento).\n\nConcluisones: \nAD digestate derived biochar is used to be the candidate for sorbents of CO2. The temperature of pyrolysis contributes to the content of N,thus it has a big influence on the capture capabilities of CO2.\nFurthermore, one-step method of preparing N-doped biochar from the modification of urea is investigated. As expected, the N content can increase the CO2 uptake ability to some extent. Although all the samples show a relatively low BET surface area and pore volumes, the material still captures a moderate quantity of CO2 better than some reported samples with N functionalities. The highest uptake capacity\n(1.22 mmol g−1) was reached when the sorbent was obtained from the ratio of 1:1 of AD digestate and urea. This simple but cost-effective method to prepare CO2 sorbents from a very common waste as well as\nthe introduction of N into the biochar to obtain N-doped biochar is potential for further research and application.","page":"118525","publisher":"Elsevier Ltd","title":"One-pot synthesis of digestate-derived biochar for carbon dioxide capture","type":"article-journal","volume":"279"},"uris":["http://www.mendeley.com/documents/?uuid=b419282b-8c0f-37ee-b39f-d5b86d93f1b2"]}],"mendeley":{"formattedCitation":"(Qiao et al., 2020)","plainTextFormattedCitation":"(Qiao et al., 2020)","previouslyFormattedCitation":"(Qiao et al., 2020)"},"properties":{"noteIndex":0},"schema":"https://github.com/citation-style-language/schema/raw/master/csl-citation.json"}</w:instrText>
      </w:r>
      <w:r>
        <w:fldChar w:fldCharType="separate"/>
      </w:r>
      <w:r w:rsidRPr="007458F8">
        <w:rPr>
          <w:noProof/>
        </w:rPr>
        <w:t>(Qiao et al., 2020)</w:t>
      </w:r>
      <w:r>
        <w:fldChar w:fldCharType="end"/>
      </w:r>
      <w:r>
        <w:t>. Therefore, biomass wastes with high protein content could be considered as potential precursors for low cost CO</w:t>
      </w:r>
      <w:r w:rsidRPr="00690EA1">
        <w:rPr>
          <w:vertAlign w:val="subscript"/>
        </w:rPr>
        <w:t>2</w:t>
      </w:r>
      <w:r>
        <w:t xml:space="preserve"> adsorbent. </w:t>
      </w:r>
    </w:p>
    <w:p w14:paraId="1430EBAD" w14:textId="3909CB4B" w:rsidR="00AC31F4" w:rsidRPr="003F39B6" w:rsidRDefault="00AC31F4" w:rsidP="00AC31F4">
      <w:pPr>
        <w:spacing w:before="240" w:after="120"/>
        <w:ind w:firstLine="0"/>
        <w:rPr>
          <w:i/>
        </w:rPr>
      </w:pPr>
      <w:r>
        <w:rPr>
          <w:i/>
        </w:rPr>
        <w:t>3.3</w:t>
      </w:r>
      <w:r w:rsidRPr="003F39B6">
        <w:rPr>
          <w:i/>
        </w:rPr>
        <w:t>.</w:t>
      </w:r>
      <w:r>
        <w:rPr>
          <w:i/>
        </w:rPr>
        <w:t>2</w:t>
      </w:r>
      <w:r w:rsidRPr="003F39B6">
        <w:rPr>
          <w:i/>
        </w:rPr>
        <w:t xml:space="preserve"> ATR-FTIR </w:t>
      </w:r>
    </w:p>
    <w:p w14:paraId="5D241A4E" w14:textId="5F157B54" w:rsidR="00E46261" w:rsidRDefault="00AC31F4" w:rsidP="00A73134">
      <w:r w:rsidRPr="00A73134">
        <w:t>The nature of the functional groups present on a solid surface can be analyzed by ATR</w:t>
      </w:r>
      <w:r w:rsidR="00696206">
        <w:t>-</w:t>
      </w:r>
      <w:r w:rsidRPr="00A73134">
        <w:t xml:space="preserve">FTIR (Figure </w:t>
      </w:r>
      <w:r w:rsidR="00533C7D">
        <w:t>1</w:t>
      </w:r>
      <w:r>
        <w:t>). No peaks related to OH-groups (3400-3200 cm</w:t>
      </w:r>
      <w:r w:rsidRPr="003F39B6">
        <w:rPr>
          <w:vertAlign w:val="superscript"/>
        </w:rPr>
        <w:t>-1</w:t>
      </w:r>
      <w:r>
        <w:t>) are found in the spectra of the chars, with the exception of the chars obtained from collagen at the three pyrolysis temperatures and the soybean char prepared at 350 ºC. The expected peak assigned to amino group (N-H) at about 3250 cm</w:t>
      </w:r>
      <w:r w:rsidRPr="00021224">
        <w:rPr>
          <w:vertAlign w:val="superscript"/>
        </w:rPr>
        <w:t>-1</w:t>
      </w:r>
      <w:r>
        <w:t xml:space="preserve"> is not found in </w:t>
      </w:r>
      <w:r w:rsidR="00696206">
        <w:t xml:space="preserve">any of </w:t>
      </w:r>
      <w:r>
        <w:t>the char spectra, which points to its destruction during pyrolysis. The peaks around 1625 and 1520 cm</w:t>
      </w:r>
      <w:r>
        <w:rPr>
          <w:vertAlign w:val="superscript"/>
        </w:rPr>
        <w:t>-1</w:t>
      </w:r>
      <w:r>
        <w:t xml:space="preserve"> represent the amide groups and appear in chars obtained from proteins and to a lesser extent in the low-temperature char from MBM. The peaks between 2400 and 2200 cm</w:t>
      </w:r>
      <w:r w:rsidRPr="00CE354F">
        <w:rPr>
          <w:vertAlign w:val="superscript"/>
        </w:rPr>
        <w:t>-1</w:t>
      </w:r>
      <w:r>
        <w:t xml:space="preserve"> can be related to nitriles groups</w:t>
      </w:r>
      <w:r w:rsidR="00696206">
        <w:t>. They remain</w:t>
      </w:r>
      <w:r>
        <w:t xml:space="preserve"> during pyrolysis for all the feedstocks with slightly higher intensity at higher temperatures. These peaks are the only ones related to nitrogenous </w:t>
      </w:r>
      <w:r w:rsidR="00A73134">
        <w:t xml:space="preserve">groups that can be observed in </w:t>
      </w:r>
      <w:r>
        <w:t>DM chars</w:t>
      </w:r>
      <w:r w:rsidR="00922DDA">
        <w:t xml:space="preserve"> (which also showed the lowest N content in the elemental analysis)</w:t>
      </w:r>
      <w:r>
        <w:t xml:space="preserve">. Chars from collagen seem to be the samples with </w:t>
      </w:r>
      <w:r w:rsidR="00696206">
        <w:t xml:space="preserve">the </w:t>
      </w:r>
      <w:r>
        <w:t>highe</w:t>
      </w:r>
      <w:r w:rsidR="00696206">
        <w:t>st</w:t>
      </w:r>
      <w:r>
        <w:t xml:space="preserve"> </w:t>
      </w:r>
      <w:r w:rsidR="00696206">
        <w:t xml:space="preserve">content of </w:t>
      </w:r>
      <w:r>
        <w:t>nitroge</w:t>
      </w:r>
      <w:r w:rsidR="00A73134">
        <w:t>n functionalit</w:t>
      </w:r>
      <w:r w:rsidR="00696206">
        <w:t>ies</w:t>
      </w:r>
      <w:r w:rsidR="00A73134">
        <w:t xml:space="preserve"> and chars from </w:t>
      </w:r>
      <w:r>
        <w:t>DM the samples with the lowest one.</w:t>
      </w:r>
    </w:p>
    <w:p w14:paraId="0297B002" w14:textId="5F97AA26" w:rsidR="00AC31F4" w:rsidRDefault="00E46261" w:rsidP="000211DB">
      <w:pPr>
        <w:ind w:firstLine="0"/>
      </w:pPr>
      <w:r w:rsidRPr="00A73134">
        <w:rPr>
          <w:noProof/>
          <w:lang w:val="es-ES" w:eastAsia="es-ES"/>
        </w:rPr>
        <mc:AlternateContent>
          <mc:Choice Requires="wps">
            <w:drawing>
              <wp:anchor distT="0" distB="0" distL="114300" distR="114300" simplePos="0" relativeHeight="251659264" behindDoc="0" locked="0" layoutInCell="1" allowOverlap="1" wp14:anchorId="4AF02A22" wp14:editId="5003C367">
                <wp:simplePos x="0" y="0"/>
                <wp:positionH relativeFrom="column">
                  <wp:posOffset>100965</wp:posOffset>
                </wp:positionH>
                <wp:positionV relativeFrom="paragraph">
                  <wp:posOffset>108585</wp:posOffset>
                </wp:positionV>
                <wp:extent cx="523875" cy="1403985"/>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1403985"/>
                        </a:xfrm>
                        <a:prstGeom prst="rect">
                          <a:avLst/>
                        </a:prstGeom>
                        <a:noFill/>
                        <a:ln w="9525">
                          <a:noFill/>
                          <a:miter lim="800000"/>
                          <a:headEnd/>
                          <a:tailEnd/>
                        </a:ln>
                      </wps:spPr>
                      <wps:txbx>
                        <w:txbxContent>
                          <w:p w14:paraId="2A4FE052" w14:textId="77777777" w:rsidR="00871405" w:rsidRPr="00CE354F" w:rsidRDefault="00871405" w:rsidP="00AC31F4">
                            <w:pPr>
                              <w:rPr>
                                <w:b/>
                                <w:sz w:val="16"/>
                                <w:lang w:val="es-ES"/>
                              </w:rPr>
                            </w:pPr>
                            <w:r w:rsidRPr="00CE354F">
                              <w:rPr>
                                <w:b/>
                                <w:sz w:val="16"/>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7.95pt;margin-top:8.55pt;width:41.25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" filled="f" stroked="f">
                <v:textbox style="mso-fit-shape-to-text:t">
                  <w:txbxContent>
                    <w:p w14:paraId="2A4FE052" w14:textId="77777777" w:rsidR="00871405" w:rsidRPr="00CE354F" w:rsidRDefault="00871405" w:rsidP="00AC31F4">
                      <w:pPr>
                        <w:rPr>
                          <w:b/>
                          <w:sz w:val="16"/>
                          <w:lang w:val="es-ES"/>
                        </w:rPr>
                      </w:pPr>
                      <w:r w:rsidRPr="00CE354F">
                        <w:rPr>
                          <w:b/>
                          <w:sz w:val="16"/>
                        </w:rPr>
                        <w:t>a)</w:t>
                      </w:r>
                    </w:p>
                  </w:txbxContent>
                </v:textbox>
              </v:shape>
            </w:pict>
          </mc:Fallback>
        </mc:AlternateContent>
      </w:r>
      <w:r w:rsidRPr="00A73134">
        <w:rPr>
          <w:noProof/>
          <w:lang w:val="es-ES" w:eastAsia="es-ES"/>
        </w:rPr>
        <mc:AlternateContent>
          <mc:Choice Requires="wps">
            <w:drawing>
              <wp:anchor distT="0" distB="0" distL="114300" distR="114300" simplePos="0" relativeHeight="251661312" behindDoc="0" locked="0" layoutInCell="1" allowOverlap="1" wp14:anchorId="17937C68" wp14:editId="5867629F">
                <wp:simplePos x="0" y="0"/>
                <wp:positionH relativeFrom="column">
                  <wp:posOffset>100965</wp:posOffset>
                </wp:positionH>
                <wp:positionV relativeFrom="paragraph">
                  <wp:posOffset>2261235</wp:posOffset>
                </wp:positionV>
                <wp:extent cx="523875" cy="1403985"/>
                <wp:effectExtent l="0" t="0" r="0" b="0"/>
                <wp:wrapNone/>
                <wp:docPr id="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1403985"/>
                        </a:xfrm>
                        <a:prstGeom prst="rect">
                          <a:avLst/>
                        </a:prstGeom>
                        <a:noFill/>
                        <a:ln w="9525">
                          <a:noFill/>
                          <a:miter lim="800000"/>
                          <a:headEnd/>
                          <a:tailEnd/>
                        </a:ln>
                      </wps:spPr>
                      <wps:txbx>
                        <w:txbxContent>
                          <w:p w14:paraId="7FE8A526" w14:textId="77777777" w:rsidR="00871405" w:rsidRPr="00CE354F" w:rsidRDefault="00871405" w:rsidP="00AC31F4">
                            <w:pPr>
                              <w:rPr>
                                <w:b/>
                                <w:sz w:val="16"/>
                                <w:lang w:val="es-ES"/>
                              </w:rPr>
                            </w:pPr>
                            <w:r>
                              <w:rPr>
                                <w:b/>
                                <w:sz w:val="16"/>
                              </w:rPr>
                              <w:t>c</w:t>
                            </w:r>
                            <w:r w:rsidRPr="00CE354F">
                              <w:rPr>
                                <w:b/>
                                <w:sz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7.95pt;margin-top:178.05pt;width:41.25pt;height:110.5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" filled="f" stroked="f">
                <v:textbox style="mso-fit-shape-to-text:t">
                  <w:txbxContent>
                    <w:p w14:paraId="7FE8A526" w14:textId="77777777" w:rsidR="00871405" w:rsidRPr="00CE354F" w:rsidRDefault="00871405" w:rsidP="00AC31F4">
                      <w:pPr>
                        <w:rPr>
                          <w:b/>
                          <w:sz w:val="16"/>
                          <w:lang w:val="es-ES"/>
                        </w:rPr>
                      </w:pPr>
                      <w:r>
                        <w:rPr>
                          <w:b/>
                          <w:sz w:val="16"/>
                        </w:rPr>
                        <w:t>c</w:t>
                      </w:r>
                      <w:r w:rsidRPr="00CE354F">
                        <w:rPr>
                          <w:b/>
                          <w:sz w:val="16"/>
                        </w:rPr>
                        <w:t>)</w:t>
                      </w:r>
                    </w:p>
                  </w:txbxContent>
                </v:textbox>
              </v:shape>
            </w:pict>
          </mc:Fallback>
        </mc:AlternateContent>
      </w:r>
      <w:r w:rsidRPr="00A73134">
        <w:rPr>
          <w:noProof/>
          <w:lang w:val="es-ES" w:eastAsia="es-ES"/>
        </w:rPr>
        <mc:AlternateContent>
          <mc:Choice Requires="wps">
            <w:drawing>
              <wp:anchor distT="0" distB="0" distL="114300" distR="114300" simplePos="0" relativeHeight="251660288" behindDoc="0" locked="0" layoutInCell="1" allowOverlap="1" wp14:anchorId="54F23649" wp14:editId="49847DDC">
                <wp:simplePos x="0" y="0"/>
                <wp:positionH relativeFrom="column">
                  <wp:posOffset>3053715</wp:posOffset>
                </wp:positionH>
                <wp:positionV relativeFrom="paragraph">
                  <wp:posOffset>70485</wp:posOffset>
                </wp:positionV>
                <wp:extent cx="523875" cy="1403985"/>
                <wp:effectExtent l="0" t="0" r="0" b="0"/>
                <wp:wrapNone/>
                <wp:docPr id="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1403985"/>
                        </a:xfrm>
                        <a:prstGeom prst="rect">
                          <a:avLst/>
                        </a:prstGeom>
                        <a:noFill/>
                        <a:ln w="9525">
                          <a:noFill/>
                          <a:miter lim="800000"/>
                          <a:headEnd/>
                          <a:tailEnd/>
                        </a:ln>
                      </wps:spPr>
                      <wps:txbx>
                        <w:txbxContent>
                          <w:p w14:paraId="6F2050C9" w14:textId="77777777" w:rsidR="00871405" w:rsidRPr="00CE354F" w:rsidRDefault="00871405" w:rsidP="00AC31F4">
                            <w:pPr>
                              <w:rPr>
                                <w:b/>
                                <w:sz w:val="16"/>
                                <w:lang w:val="es-ES"/>
                              </w:rPr>
                            </w:pPr>
                            <w:r>
                              <w:rPr>
                                <w:b/>
                                <w:sz w:val="16"/>
                              </w:rPr>
                              <w:t>b</w:t>
                            </w:r>
                            <w:r w:rsidRPr="00CE354F">
                              <w:rPr>
                                <w:b/>
                                <w:sz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240.45pt;margin-top:5.55pt;width:41.25pt;height:110.55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" filled="f" stroked="f">
                <v:textbox style="mso-fit-shape-to-text:t">
                  <w:txbxContent>
                    <w:p w14:paraId="6F2050C9" w14:textId="77777777" w:rsidR="00871405" w:rsidRPr="00CE354F" w:rsidRDefault="00871405" w:rsidP="00AC31F4">
                      <w:pPr>
                        <w:rPr>
                          <w:b/>
                          <w:sz w:val="16"/>
                          <w:lang w:val="es-ES"/>
                        </w:rPr>
                      </w:pPr>
                      <w:r>
                        <w:rPr>
                          <w:b/>
                          <w:sz w:val="16"/>
                        </w:rPr>
                        <w:t>b</w:t>
                      </w:r>
                      <w:r w:rsidRPr="00CE354F">
                        <w:rPr>
                          <w:b/>
                          <w:sz w:val="16"/>
                        </w:rPr>
                        <w:t>)</w:t>
                      </w:r>
                    </w:p>
                  </w:txbxContent>
                </v:textbox>
              </v:shape>
            </w:pict>
          </mc:Fallback>
        </mc:AlternateContent>
      </w:r>
      <w:r w:rsidRPr="00A73134">
        <w:rPr>
          <w:noProof/>
          <w:lang w:val="es-ES" w:eastAsia="es-ES"/>
        </w:rPr>
        <mc:AlternateContent>
          <mc:Choice Requires="wps">
            <w:drawing>
              <wp:anchor distT="0" distB="0" distL="114300" distR="114300" simplePos="0" relativeHeight="251662336" behindDoc="0" locked="0" layoutInCell="1" allowOverlap="1" wp14:anchorId="68302B5A" wp14:editId="3088875D">
                <wp:simplePos x="0" y="0"/>
                <wp:positionH relativeFrom="column">
                  <wp:posOffset>3110865</wp:posOffset>
                </wp:positionH>
                <wp:positionV relativeFrom="paragraph">
                  <wp:posOffset>2261235</wp:posOffset>
                </wp:positionV>
                <wp:extent cx="523875" cy="1403985"/>
                <wp:effectExtent l="0" t="0" r="0" b="0"/>
                <wp:wrapNone/>
                <wp:docPr id="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1403985"/>
                        </a:xfrm>
                        <a:prstGeom prst="rect">
                          <a:avLst/>
                        </a:prstGeom>
                        <a:noFill/>
                        <a:ln w="9525">
                          <a:noFill/>
                          <a:miter lim="800000"/>
                          <a:headEnd/>
                          <a:tailEnd/>
                        </a:ln>
                      </wps:spPr>
                      <wps:txbx>
                        <w:txbxContent>
                          <w:p w14:paraId="628494AF" w14:textId="77777777" w:rsidR="00871405" w:rsidRPr="00CE354F" w:rsidRDefault="00871405" w:rsidP="00AC31F4">
                            <w:pPr>
                              <w:rPr>
                                <w:b/>
                                <w:sz w:val="16"/>
                                <w:lang w:val="es-ES"/>
                              </w:rPr>
                            </w:pPr>
                            <w:r>
                              <w:rPr>
                                <w:b/>
                                <w:sz w:val="16"/>
                              </w:rPr>
                              <w:t>d</w:t>
                            </w:r>
                            <w:r w:rsidRPr="00CE354F">
                              <w:rPr>
                                <w:b/>
                                <w:sz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left:0;text-align:left;margin-left:244.95pt;margin-top:178.05pt;width:41.25pt;height:110.55pt;z-index:251662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" filled="f" stroked="f">
                <v:textbox style="mso-fit-shape-to-text:t">
                  <w:txbxContent>
                    <w:p w14:paraId="628494AF" w14:textId="77777777" w:rsidR="00871405" w:rsidRPr="00CE354F" w:rsidRDefault="00871405" w:rsidP="00AC31F4">
                      <w:pPr>
                        <w:rPr>
                          <w:b/>
                          <w:sz w:val="16"/>
                          <w:lang w:val="es-ES"/>
                        </w:rPr>
                      </w:pPr>
                      <w:r>
                        <w:rPr>
                          <w:b/>
                          <w:sz w:val="16"/>
                        </w:rPr>
                        <w:t>d</w:t>
                      </w:r>
                      <w:r w:rsidRPr="00CE354F">
                        <w:rPr>
                          <w:b/>
                          <w:sz w:val="16"/>
                        </w:rPr>
                        <w:t>)</w:t>
                      </w:r>
                    </w:p>
                  </w:txbxContent>
                </v:textbox>
              </v:shape>
            </w:pict>
          </mc:Fallback>
        </mc:AlternateContent>
      </w:r>
      <w:r w:rsidR="00AC31F4" w:rsidRPr="00CE354F">
        <w:rPr>
          <w:noProof/>
        </w:rPr>
        <w:t xml:space="preserve"> </w:t>
      </w:r>
      <w:r>
        <w:rPr>
          <w:noProof/>
          <w:lang w:val="es-ES"/>
        </w:rPr>
        <w:drawing>
          <wp:inline distT="0" distB="0" distL="0" distR="0" wp14:anchorId="108498FC" wp14:editId="6A29B57B">
            <wp:extent cx="6116955" cy="459295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16955" cy="4592955"/>
                    </a:xfrm>
                    <a:prstGeom prst="rect">
                      <a:avLst/>
                    </a:prstGeom>
                  </pic:spPr>
                </pic:pic>
              </a:graphicData>
            </a:graphic>
          </wp:inline>
        </w:drawing>
      </w:r>
    </w:p>
    <w:p w14:paraId="5443AFDF" w14:textId="7D62235B" w:rsidR="00AC31F4" w:rsidRDefault="00AC31F4" w:rsidP="00AC31F4">
      <w:pPr>
        <w:ind w:firstLine="0"/>
        <w:jc w:val="left"/>
        <w:rPr>
          <w:sz w:val="18"/>
        </w:rPr>
      </w:pPr>
      <w:r w:rsidRPr="00A73134">
        <w:rPr>
          <w:sz w:val="18"/>
        </w:rPr>
        <w:t xml:space="preserve">Figure </w:t>
      </w:r>
      <w:r w:rsidR="00533C7D" w:rsidRPr="00A73134">
        <w:rPr>
          <w:sz w:val="18"/>
        </w:rPr>
        <w:t>1</w:t>
      </w:r>
      <w:r w:rsidRPr="00CE354F">
        <w:rPr>
          <w:sz w:val="18"/>
        </w:rPr>
        <w:t>. FTIR spectra for the char</w:t>
      </w:r>
      <w:r w:rsidR="00A73134">
        <w:rPr>
          <w:sz w:val="18"/>
        </w:rPr>
        <w:t>s</w:t>
      </w:r>
      <w:r w:rsidRPr="00CE354F">
        <w:rPr>
          <w:sz w:val="18"/>
        </w:rPr>
        <w:t xml:space="preserve"> </w:t>
      </w:r>
      <w:r w:rsidR="00A73134">
        <w:rPr>
          <w:sz w:val="18"/>
        </w:rPr>
        <w:t xml:space="preserve">obtained at the three different pyrolysis temperatures </w:t>
      </w:r>
      <w:r w:rsidRPr="00CE354F">
        <w:rPr>
          <w:sz w:val="18"/>
        </w:rPr>
        <w:t>from</w:t>
      </w:r>
      <w:r>
        <w:rPr>
          <w:sz w:val="18"/>
        </w:rPr>
        <w:t>:</w:t>
      </w:r>
      <w:r w:rsidRPr="00CE354F">
        <w:rPr>
          <w:sz w:val="18"/>
        </w:rPr>
        <w:t xml:space="preserve"> a) </w:t>
      </w:r>
      <w:r>
        <w:rPr>
          <w:sz w:val="18"/>
        </w:rPr>
        <w:t>C</w:t>
      </w:r>
      <w:r w:rsidRPr="00CE354F">
        <w:rPr>
          <w:sz w:val="18"/>
        </w:rPr>
        <w:t>o</w:t>
      </w:r>
      <w:r>
        <w:rPr>
          <w:sz w:val="18"/>
        </w:rPr>
        <w:t>-</w:t>
      </w:r>
      <w:r w:rsidRPr="00CE354F">
        <w:rPr>
          <w:sz w:val="18"/>
        </w:rPr>
        <w:t>digested manure, b) Collagen, c) Soybean protein, d) Meat and bone meal.</w:t>
      </w:r>
    </w:p>
    <w:p w14:paraId="2793AB14" w14:textId="77777777" w:rsidR="000211DB" w:rsidRDefault="000211DB" w:rsidP="00AC31F4">
      <w:pPr>
        <w:ind w:firstLine="0"/>
        <w:jc w:val="left"/>
        <w:rPr>
          <w:sz w:val="18"/>
        </w:rPr>
      </w:pPr>
    </w:p>
    <w:p w14:paraId="6716D8C8" w14:textId="77777777" w:rsidR="000211DB" w:rsidRPr="00CE354F" w:rsidRDefault="000211DB" w:rsidP="00AC31F4">
      <w:pPr>
        <w:ind w:firstLine="0"/>
        <w:jc w:val="left"/>
        <w:rPr>
          <w:sz w:val="18"/>
        </w:rPr>
      </w:pPr>
    </w:p>
    <w:p w14:paraId="0B013CA8" w14:textId="213DCAC3" w:rsidR="00AC31F4" w:rsidRDefault="00AC31F4" w:rsidP="000375B8">
      <w:pPr>
        <w:pBdr>
          <w:top w:val="nil"/>
          <w:left w:val="nil"/>
          <w:bottom w:val="nil"/>
          <w:right w:val="nil"/>
          <w:between w:val="nil"/>
        </w:pBdr>
        <w:spacing w:before="240" w:after="120" w:line="240" w:lineRule="auto"/>
        <w:ind w:right="0" w:firstLine="0"/>
        <w:rPr>
          <w:i/>
          <w:color w:val="000000"/>
        </w:rPr>
      </w:pPr>
      <w:r>
        <w:rPr>
          <w:i/>
          <w:color w:val="000000"/>
        </w:rPr>
        <w:lastRenderedPageBreak/>
        <w:t>3.3.3 Surface area</w:t>
      </w:r>
    </w:p>
    <w:p w14:paraId="73B1A510" w14:textId="4957F215" w:rsidR="00C13ABB" w:rsidRDefault="007C163B" w:rsidP="00F86CC0">
      <w:r w:rsidRPr="00A73134">
        <w:t>Four N</w:t>
      </w:r>
      <w:r w:rsidRPr="00A73134">
        <w:rPr>
          <w:vertAlign w:val="subscript"/>
        </w:rPr>
        <w:t>2</w:t>
      </w:r>
      <w:r w:rsidR="00A73134" w:rsidRPr="00A73134">
        <w:t xml:space="preserve"> adsorption </w:t>
      </w:r>
      <w:r w:rsidR="00C9204F">
        <w:t xml:space="preserve">isotherms for representative chars </w:t>
      </w:r>
      <w:r w:rsidRPr="00A73134">
        <w:t xml:space="preserve">are shown in Figure </w:t>
      </w:r>
      <w:r w:rsidR="00533C7D" w:rsidRPr="00A73134">
        <w:t>2</w:t>
      </w:r>
      <w:r w:rsidR="00A73134">
        <w:t xml:space="preserve">, </w:t>
      </w:r>
      <w:r w:rsidR="00C9204F">
        <w:t xml:space="preserve">each representing </w:t>
      </w:r>
      <w:r w:rsidR="00A73134">
        <w:t xml:space="preserve">one of </w:t>
      </w:r>
      <w:r w:rsidR="00C9204F">
        <w:t xml:space="preserve">the </w:t>
      </w:r>
      <w:r w:rsidR="00A73134">
        <w:t>raw material</w:t>
      </w:r>
      <w:r w:rsidR="00C9204F">
        <w:t>s</w:t>
      </w:r>
      <w:r>
        <w:t xml:space="preserve">. </w:t>
      </w:r>
      <w:r w:rsidR="00E248FE">
        <w:t>These d</w:t>
      </w:r>
      <w:r>
        <w:t>ata were taken with the standard setting, meaning that the P/P</w:t>
      </w:r>
      <w:r w:rsidRPr="003A7B09">
        <w:rPr>
          <w:vertAlign w:val="subscript"/>
        </w:rPr>
        <w:t>o</w:t>
      </w:r>
      <w:r>
        <w:t xml:space="preserve"> range is 0.0</w:t>
      </w:r>
      <w:r w:rsidR="00C9204F">
        <w:t>2</w:t>
      </w:r>
      <w:r>
        <w:t xml:space="preserve"> to 0.99. This procedure does not return complete isotherms, but only the high pressure part. </w:t>
      </w:r>
      <w:r w:rsidR="00C9204F" w:rsidRPr="00F86CC0">
        <w:t xml:space="preserve">It is important to note </w:t>
      </w:r>
      <w:r w:rsidR="00C9204F">
        <w:t>that</w:t>
      </w:r>
      <w:r w:rsidR="00C9204F" w:rsidRPr="00F86CC0">
        <w:t xml:space="preserve"> the </w:t>
      </w:r>
      <w:r w:rsidR="00C9204F">
        <w:t xml:space="preserve">volume ranges of the </w:t>
      </w:r>
      <w:r w:rsidR="00C9204F" w:rsidRPr="00F86CC0">
        <w:t xml:space="preserve">isotherms </w:t>
      </w:r>
      <w:r w:rsidR="00C9204F">
        <w:t>differ significantly: they are much higher for chars from the</w:t>
      </w:r>
      <w:r w:rsidR="00C9204F" w:rsidRPr="00F86CC0">
        <w:t xml:space="preserve"> wastes (Figures 2a and 2b) </w:t>
      </w:r>
      <w:r w:rsidR="00C9204F">
        <w:t>than for those from the proteins (Figures 2c and 2d).</w:t>
      </w:r>
      <w:r w:rsidR="00C9204F">
        <w:t xml:space="preserve"> </w:t>
      </w:r>
      <w:r w:rsidR="00F86CC0" w:rsidRPr="00F86CC0">
        <w:t xml:space="preserve">These </w:t>
      </w:r>
      <w:r w:rsidR="00FC3976">
        <w:t>results</w:t>
      </w:r>
      <w:r w:rsidR="00F86CC0" w:rsidRPr="00F86CC0">
        <w:t xml:space="preserve"> clearly show that N</w:t>
      </w:r>
      <w:r w:rsidR="00F86CC0" w:rsidRPr="00F86CC0">
        <w:rPr>
          <w:vertAlign w:val="subscript"/>
        </w:rPr>
        <w:t>2</w:t>
      </w:r>
      <w:r w:rsidR="007D4346">
        <w:t xml:space="preserve"> </w:t>
      </w:r>
      <w:r w:rsidR="00F86CC0" w:rsidRPr="00F86CC0">
        <w:t>adsorption hardly t</w:t>
      </w:r>
      <w:r w:rsidR="00F86CC0">
        <w:t>ook</w:t>
      </w:r>
      <w:r w:rsidR="00FC3976">
        <w:t xml:space="preserve"> place </w:t>
      </w:r>
      <w:r w:rsidR="00FC3976" w:rsidRPr="00773356">
        <w:t>in proteins chars. Proteins melt</w:t>
      </w:r>
      <w:r w:rsidR="00694B73" w:rsidRPr="00773356">
        <w:t>ing</w:t>
      </w:r>
      <w:r w:rsidR="00FC3976" w:rsidRPr="00773356">
        <w:t xml:space="preserve"> during thermal treatment </w:t>
      </w:r>
      <w:r w:rsidR="00694B73" w:rsidRPr="00773356">
        <w:t>(</w:t>
      </w:r>
      <w:r w:rsidR="00FC3976" w:rsidRPr="00773356">
        <w:t>at temperatures around 250 ºC</w:t>
      </w:r>
      <w:r w:rsidR="00694B73" w:rsidRPr="00773356">
        <w:t>)</w:t>
      </w:r>
      <w:r w:rsidR="00FC3976" w:rsidRPr="00773356">
        <w:t xml:space="preserve"> </w:t>
      </w:r>
      <w:r w:rsidR="00C237F8">
        <w:t>seems to be</w:t>
      </w:r>
      <w:r w:rsidR="00B45FA7" w:rsidRPr="00773356">
        <w:t xml:space="preserve"> a key point in </w:t>
      </w:r>
      <w:r w:rsidR="00FC3976" w:rsidRPr="00773356">
        <w:t xml:space="preserve">the final structure of </w:t>
      </w:r>
      <w:r w:rsidR="00694B73" w:rsidRPr="00773356">
        <w:t>the produced</w:t>
      </w:r>
      <w:r w:rsidR="00C237F8">
        <w:t xml:space="preserve"> chars, as </w:t>
      </w:r>
      <w:r w:rsidR="00B45FA7">
        <w:t xml:space="preserve">a poor </w:t>
      </w:r>
      <w:r w:rsidR="00FC3976" w:rsidRPr="00FC3976">
        <w:t xml:space="preserve">porosity </w:t>
      </w:r>
      <w:r w:rsidR="00B45FA7" w:rsidRPr="00C237F8">
        <w:t xml:space="preserve">structure </w:t>
      </w:r>
      <w:r w:rsidR="00FC3976" w:rsidRPr="00C237F8">
        <w:t>in the form of</w:t>
      </w:r>
      <w:r w:rsidR="00FC3976" w:rsidRPr="00FC3976">
        <w:t xml:space="preserve"> macropores, mesopores or wider micropores </w:t>
      </w:r>
      <w:r w:rsidR="00C237F8">
        <w:t>has been found with N</w:t>
      </w:r>
      <w:r w:rsidR="00C237F8" w:rsidRPr="00C237F8">
        <w:rPr>
          <w:vertAlign w:val="subscript"/>
        </w:rPr>
        <w:t>2</w:t>
      </w:r>
      <w:r w:rsidR="00C237F8">
        <w:t xml:space="preserve"> adsorption tests</w:t>
      </w:r>
      <w:r w:rsidR="00FC3976" w:rsidRPr="00FC3976">
        <w:t>.</w:t>
      </w:r>
      <w:r w:rsidR="00C13ABB">
        <w:t xml:space="preserve"> </w:t>
      </w:r>
    </w:p>
    <w:p w14:paraId="3A26DD36" w14:textId="66B1E590" w:rsidR="007C163B" w:rsidRDefault="00965D28" w:rsidP="005D1A18">
      <w:r>
        <w:t>Although the initial part of the isotherm at lower relative pressures is missing, isotherms of DM and</w:t>
      </w:r>
      <w:r w:rsidR="00DF30C2">
        <w:t xml:space="preserve"> MBM can be included as Type IV</w:t>
      </w:r>
      <w:r w:rsidR="00CA5D77">
        <w:t xml:space="preserve"> according to IUPAC classification </w:t>
      </w:r>
      <w:r w:rsidR="00CA5D77">
        <w:fldChar w:fldCharType="begin" w:fldLock="1"/>
      </w:r>
      <w:r w:rsidR="00371D5B">
        <w:instrText>ADDIN CSL_CITATION {"citationItems":[{"id":"ITEM-1","itemData":{"DOI":"doi.org/10.1351/pac198557040603","author":[{"dropping-particle":"","family":"Sing","given":"K.S.W.","non-dropping-particle":"","parse-names":false,"suffix":""}],"container-title":"Pure and Applied Chemistry","id":"ITEM-1","issue":"11","issued":{"date-parts":[["1982"]]},"page":"2201-2218","publisher-place":"Uxbridge, UK","title":"Reporting physisorption data for gas/solid systems with special reference to the determination of surface area and porosity","type":"article-journal","volume":"54"},"uris":["http://www.mendeley.com/documents/?uuid=8826162a-272e-3291-8d0e-7e67f4f2e8f5"]}],"mendeley":{"formattedCitation":"(Sing, 1982)","plainTextFormattedCitation":"(Sing, 1982)","previouslyFormattedCitation":"(Sing, 1982)"},"properties":{"noteIndex":0},"schema":"https://github.com/citation-style-language/schema/raw/master/csl-citation.json"}</w:instrText>
      </w:r>
      <w:r w:rsidR="00CA5D77">
        <w:fldChar w:fldCharType="separate"/>
      </w:r>
      <w:r w:rsidR="00CA5D77" w:rsidRPr="00CA5D77">
        <w:rPr>
          <w:noProof/>
        </w:rPr>
        <w:t>(Sing, 1982)</w:t>
      </w:r>
      <w:r w:rsidR="00CA5D77">
        <w:fldChar w:fldCharType="end"/>
      </w:r>
      <w:r w:rsidR="00DF30C2">
        <w:t xml:space="preserve">. </w:t>
      </w:r>
      <w:r>
        <w:t>Most of the isoterms</w:t>
      </w:r>
      <w:r w:rsidR="00C13ABB" w:rsidRPr="00FC3976">
        <w:t xml:space="preserve"> show</w:t>
      </w:r>
      <w:r>
        <w:t>ed</w:t>
      </w:r>
      <w:r w:rsidR="00C13ABB" w:rsidRPr="00FC3976">
        <w:t xml:space="preserve"> pronounced hysteresis loops, indicating that the adsorption and/or desorption branches are not in equilibrium. These hysteresis loops are usually related to condensation phenomena occurring in mesopores.</w:t>
      </w:r>
      <w:r w:rsidR="00C13ABB">
        <w:t xml:space="preserve"> </w:t>
      </w:r>
    </w:p>
    <w:p w14:paraId="00012D46" w14:textId="4DE47FF1" w:rsidR="007C163B" w:rsidRDefault="000375B8" w:rsidP="007C163B">
      <w:pPr>
        <w:ind w:firstLine="0"/>
      </w:pPr>
      <w:r w:rsidRPr="000375B8">
        <w:rPr>
          <w:noProof/>
          <w:lang w:val="es-ES" w:eastAsia="es-ES"/>
        </w:rPr>
        <mc:AlternateContent>
          <mc:Choice Requires="wps">
            <w:drawing>
              <wp:anchor distT="0" distB="0" distL="114300" distR="114300" simplePos="0" relativeHeight="251666432" behindDoc="0" locked="0" layoutInCell="1" allowOverlap="1" wp14:anchorId="3A9DA6DA" wp14:editId="5EC81CD2">
                <wp:simplePos x="0" y="0"/>
                <wp:positionH relativeFrom="column">
                  <wp:posOffset>2924810</wp:posOffset>
                </wp:positionH>
                <wp:positionV relativeFrom="paragraph">
                  <wp:posOffset>73025</wp:posOffset>
                </wp:positionV>
                <wp:extent cx="361950" cy="1403985"/>
                <wp:effectExtent l="0" t="0" r="0" b="0"/>
                <wp:wrapNone/>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3985"/>
                        </a:xfrm>
                        <a:prstGeom prst="rect">
                          <a:avLst/>
                        </a:prstGeom>
                        <a:noFill/>
                        <a:ln w="9525">
                          <a:noFill/>
                          <a:miter lim="800000"/>
                          <a:headEnd/>
                          <a:tailEnd/>
                        </a:ln>
                      </wps:spPr>
                      <wps:txbx>
                        <w:txbxContent>
                          <w:p w14:paraId="630A7A9D" w14:textId="057CE9DD" w:rsidR="00871405" w:rsidRPr="00E46261" w:rsidRDefault="00871405" w:rsidP="000375B8">
                            <w:pPr>
                              <w:ind w:firstLine="0"/>
                              <w:rPr>
                                <w:b/>
                                <w:sz w:val="16"/>
                                <w:lang w:val="es-ES"/>
                              </w:rPr>
                            </w:pPr>
                            <w:r w:rsidRPr="00E46261">
                              <w:rPr>
                                <w:b/>
                                <w:sz w:val="16"/>
                                <w:lang w:val="es-ES"/>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position:absolute;left:0;text-align:left;margin-left:230.3pt;margin-top:5.75pt;width:28.5pt;height:110.55pt;z-index:2516664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" filled="f" stroked="f">
                <v:textbox style="mso-fit-shape-to-text:t">
                  <w:txbxContent>
                    <w:p w14:paraId="630A7A9D" w14:textId="057CE9DD" w:rsidR="00871405" w:rsidRPr="00E46261" w:rsidRDefault="00871405" w:rsidP="000375B8">
                      <w:pPr>
                        <w:ind w:firstLine="0"/>
                        <w:rPr>
                          <w:b/>
                          <w:sz w:val="16"/>
                          <w:lang w:val="es-ES"/>
                        </w:rPr>
                      </w:pPr>
                      <w:r w:rsidRPr="00E46261">
                        <w:rPr>
                          <w:b/>
                          <w:sz w:val="16"/>
                          <w:lang w:val="es-ES"/>
                        </w:rPr>
                        <w:t>b)</w:t>
                      </w:r>
                    </w:p>
                  </w:txbxContent>
                </v:textbox>
              </v:shape>
            </w:pict>
          </mc:Fallback>
        </mc:AlternateContent>
      </w:r>
      <w:r>
        <w:rPr>
          <w:noProof/>
          <w:lang w:val="es-ES" w:eastAsia="es-ES"/>
        </w:rPr>
        <mc:AlternateContent>
          <mc:Choice Requires="wps">
            <w:drawing>
              <wp:anchor distT="0" distB="0" distL="114300" distR="114300" simplePos="0" relativeHeight="251664384" behindDoc="0" locked="0" layoutInCell="1" allowOverlap="1" wp14:anchorId="2A541C0B" wp14:editId="520D2EC5">
                <wp:simplePos x="0" y="0"/>
                <wp:positionH relativeFrom="column">
                  <wp:posOffset>219710</wp:posOffset>
                </wp:positionH>
                <wp:positionV relativeFrom="paragraph">
                  <wp:posOffset>73025</wp:posOffset>
                </wp:positionV>
                <wp:extent cx="361950" cy="1403985"/>
                <wp:effectExtent l="0" t="0" r="0" b="0"/>
                <wp:wrapNone/>
                <wp:docPr id="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3985"/>
                        </a:xfrm>
                        <a:prstGeom prst="rect">
                          <a:avLst/>
                        </a:prstGeom>
                        <a:noFill/>
                        <a:ln w="9525">
                          <a:noFill/>
                          <a:miter lim="800000"/>
                          <a:headEnd/>
                          <a:tailEnd/>
                        </a:ln>
                      </wps:spPr>
                      <wps:txbx>
                        <w:txbxContent>
                          <w:p w14:paraId="0D003836" w14:textId="2E8E505C" w:rsidR="00871405" w:rsidRPr="00E46261" w:rsidRDefault="00871405" w:rsidP="000375B8">
                            <w:pPr>
                              <w:ind w:firstLine="0"/>
                              <w:rPr>
                                <w:b/>
                                <w:sz w:val="16"/>
                                <w:lang w:val="es-ES"/>
                              </w:rPr>
                            </w:pPr>
                            <w:r w:rsidRPr="00E46261">
                              <w:rPr>
                                <w:b/>
                                <w:sz w:val="16"/>
                                <w:lang w:val="es-ES"/>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left:0;text-align:left;margin-left:17.3pt;margin-top:5.75pt;width:28.5pt;height:110.55pt;z-index:251664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" filled="f" stroked="f">
                <v:textbox style="mso-fit-shape-to-text:t">
                  <w:txbxContent>
                    <w:p w14:paraId="0D003836" w14:textId="2E8E505C" w:rsidR="00871405" w:rsidRPr="00E46261" w:rsidRDefault="00871405" w:rsidP="000375B8">
                      <w:pPr>
                        <w:ind w:firstLine="0"/>
                        <w:rPr>
                          <w:b/>
                          <w:sz w:val="16"/>
                          <w:lang w:val="es-ES"/>
                        </w:rPr>
                      </w:pPr>
                      <w:r w:rsidRPr="00E46261">
                        <w:rPr>
                          <w:b/>
                          <w:sz w:val="16"/>
                          <w:lang w:val="es-ES"/>
                        </w:rPr>
                        <w:t>a)</w:t>
                      </w:r>
                    </w:p>
                  </w:txbxContent>
                </v:textbox>
              </v:shape>
            </w:pict>
          </mc:Fallback>
        </mc:AlternateContent>
      </w:r>
    </w:p>
    <w:p w14:paraId="483282F0" w14:textId="1F0214B5" w:rsidR="007C163B" w:rsidRDefault="000375B8" w:rsidP="007C163B">
      <w:pPr>
        <w:ind w:firstLine="0"/>
        <w:jc w:val="center"/>
        <w:rPr>
          <w:noProof/>
        </w:rPr>
      </w:pPr>
      <w:r w:rsidRPr="000375B8">
        <w:rPr>
          <w:noProof/>
          <w:lang w:val="es-ES" w:eastAsia="es-ES"/>
        </w:rPr>
        <mc:AlternateContent>
          <mc:Choice Requires="wps">
            <w:drawing>
              <wp:anchor distT="0" distB="0" distL="114300" distR="114300" simplePos="0" relativeHeight="251670528" behindDoc="0" locked="0" layoutInCell="1" allowOverlap="1" wp14:anchorId="3CD2052E" wp14:editId="1C29EE89">
                <wp:simplePos x="0" y="0"/>
                <wp:positionH relativeFrom="column">
                  <wp:posOffset>2943860</wp:posOffset>
                </wp:positionH>
                <wp:positionV relativeFrom="paragraph">
                  <wp:posOffset>2362200</wp:posOffset>
                </wp:positionV>
                <wp:extent cx="361950" cy="1403985"/>
                <wp:effectExtent l="0" t="0" r="0" b="0"/>
                <wp:wrapNone/>
                <wp:docPr id="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3985"/>
                        </a:xfrm>
                        <a:prstGeom prst="rect">
                          <a:avLst/>
                        </a:prstGeom>
                        <a:noFill/>
                        <a:ln w="9525">
                          <a:noFill/>
                          <a:miter lim="800000"/>
                          <a:headEnd/>
                          <a:tailEnd/>
                        </a:ln>
                      </wps:spPr>
                      <wps:txbx>
                        <w:txbxContent>
                          <w:p w14:paraId="7EF753EA" w14:textId="1F2F9CAC" w:rsidR="00871405" w:rsidRPr="00E46261" w:rsidRDefault="00871405" w:rsidP="000375B8">
                            <w:pPr>
                              <w:ind w:firstLine="0"/>
                              <w:rPr>
                                <w:b/>
                                <w:sz w:val="16"/>
                                <w:lang w:val="es-ES"/>
                              </w:rPr>
                            </w:pPr>
                            <w:r w:rsidRPr="00E46261">
                              <w:rPr>
                                <w:b/>
                                <w:sz w:val="16"/>
                                <w:lang w:val="es-ES"/>
                              </w:rP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2" type="#_x0000_t202" style="position:absolute;left:0;text-align:left;margin-left:231.8pt;margin-top:186pt;width:28.5pt;height:110.55pt;z-index:251670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" filled="f" stroked="f">
                <v:textbox style="mso-fit-shape-to-text:t">
                  <w:txbxContent>
                    <w:p w14:paraId="7EF753EA" w14:textId="1F2F9CAC" w:rsidR="00871405" w:rsidRPr="00E46261" w:rsidRDefault="00871405" w:rsidP="000375B8">
                      <w:pPr>
                        <w:ind w:firstLine="0"/>
                        <w:rPr>
                          <w:b/>
                          <w:sz w:val="16"/>
                          <w:lang w:val="es-ES"/>
                        </w:rPr>
                      </w:pPr>
                      <w:r w:rsidRPr="00E46261">
                        <w:rPr>
                          <w:b/>
                          <w:sz w:val="16"/>
                          <w:lang w:val="es-ES"/>
                        </w:rPr>
                        <w:t>d)</w:t>
                      </w:r>
                    </w:p>
                  </w:txbxContent>
                </v:textbox>
              </v:shape>
            </w:pict>
          </mc:Fallback>
        </mc:AlternateContent>
      </w:r>
      <w:r w:rsidRPr="000375B8">
        <w:rPr>
          <w:noProof/>
          <w:lang w:val="es-ES" w:eastAsia="es-ES"/>
        </w:rPr>
        <mc:AlternateContent>
          <mc:Choice Requires="wps">
            <w:drawing>
              <wp:anchor distT="0" distB="0" distL="114300" distR="114300" simplePos="0" relativeHeight="251668480" behindDoc="0" locked="0" layoutInCell="1" allowOverlap="1" wp14:anchorId="337DEA23" wp14:editId="6766955F">
                <wp:simplePos x="0" y="0"/>
                <wp:positionH relativeFrom="column">
                  <wp:posOffset>219710</wp:posOffset>
                </wp:positionH>
                <wp:positionV relativeFrom="paragraph">
                  <wp:posOffset>2333625</wp:posOffset>
                </wp:positionV>
                <wp:extent cx="361950" cy="1403985"/>
                <wp:effectExtent l="0" t="0" r="0" b="0"/>
                <wp:wrapNone/>
                <wp:docPr id="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3985"/>
                        </a:xfrm>
                        <a:prstGeom prst="rect">
                          <a:avLst/>
                        </a:prstGeom>
                        <a:noFill/>
                        <a:ln w="9525">
                          <a:noFill/>
                          <a:miter lim="800000"/>
                          <a:headEnd/>
                          <a:tailEnd/>
                        </a:ln>
                      </wps:spPr>
                      <wps:txbx>
                        <w:txbxContent>
                          <w:p w14:paraId="3E069BA6" w14:textId="117635B6" w:rsidR="00871405" w:rsidRPr="00E46261" w:rsidRDefault="00871405" w:rsidP="000375B8">
                            <w:pPr>
                              <w:ind w:firstLine="0"/>
                              <w:rPr>
                                <w:b/>
                                <w:sz w:val="16"/>
                                <w:lang w:val="es-ES"/>
                              </w:rPr>
                            </w:pPr>
                            <w:r w:rsidRPr="00E46261">
                              <w:rPr>
                                <w:b/>
                                <w:sz w:val="16"/>
                                <w:lang w:val="es-ES"/>
                              </w:rP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3" type="#_x0000_t202" style="position:absolute;left:0;text-align:left;margin-left:17.3pt;margin-top:183.75pt;width:28.5pt;height:110.55pt;z-index:251668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" filled="f" stroked="f">
                <v:textbox style="mso-fit-shape-to-text:t">
                  <w:txbxContent>
                    <w:p w14:paraId="3E069BA6" w14:textId="117635B6" w:rsidR="00871405" w:rsidRPr="00E46261" w:rsidRDefault="00871405" w:rsidP="000375B8">
                      <w:pPr>
                        <w:ind w:firstLine="0"/>
                        <w:rPr>
                          <w:b/>
                          <w:sz w:val="16"/>
                          <w:lang w:val="es-ES"/>
                        </w:rPr>
                      </w:pPr>
                      <w:r w:rsidRPr="00E46261">
                        <w:rPr>
                          <w:b/>
                          <w:sz w:val="16"/>
                          <w:lang w:val="es-ES"/>
                        </w:rPr>
                        <w:t>c)</w:t>
                      </w:r>
                    </w:p>
                  </w:txbxContent>
                </v:textbox>
              </v:shape>
            </w:pict>
          </mc:Fallback>
        </mc:AlternateContent>
      </w:r>
      <w:r w:rsidR="007C163B">
        <w:rPr>
          <w:noProof/>
          <w:lang w:val="es-ES" w:eastAsia="es-ES"/>
        </w:rPr>
        <w:drawing>
          <wp:inline distT="0" distB="0" distL="0" distR="0" wp14:anchorId="6208D4CD" wp14:editId="0D9974D7">
            <wp:extent cx="2705100" cy="2419350"/>
            <wp:effectExtent l="0" t="0" r="0" b="0"/>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r w:rsidR="007C163B">
        <w:rPr>
          <w:noProof/>
          <w:lang w:val="es-ES" w:eastAsia="es-ES"/>
        </w:rPr>
        <w:drawing>
          <wp:inline distT="0" distB="0" distL="0" distR="0" wp14:anchorId="1C16A0B6" wp14:editId="2BC99E08">
            <wp:extent cx="2724150" cy="2419350"/>
            <wp:effectExtent l="0" t="0" r="0" b="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54D606FB" w14:textId="6D382C22" w:rsidR="007C163B" w:rsidRDefault="007C163B" w:rsidP="007C163B">
      <w:pPr>
        <w:ind w:firstLine="0"/>
        <w:jc w:val="center"/>
      </w:pPr>
      <w:r>
        <w:rPr>
          <w:noProof/>
          <w:lang w:val="es-ES" w:eastAsia="es-ES"/>
        </w:rPr>
        <w:drawing>
          <wp:inline distT="0" distB="0" distL="0" distR="0" wp14:anchorId="097FCE06" wp14:editId="2091CB7C">
            <wp:extent cx="2714625" cy="2419350"/>
            <wp:effectExtent l="0" t="0" r="0" b="0"/>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Pr>
          <w:noProof/>
          <w:lang w:val="es-ES" w:eastAsia="es-ES"/>
        </w:rPr>
        <w:drawing>
          <wp:inline distT="0" distB="0" distL="0" distR="0" wp14:anchorId="76C82B5D" wp14:editId="4828C773">
            <wp:extent cx="2676525" cy="2419350"/>
            <wp:effectExtent l="0" t="0" r="0" b="0"/>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1D6B210" w14:textId="77777777" w:rsidR="007C163B" w:rsidRDefault="007C163B" w:rsidP="007C163B"/>
    <w:p w14:paraId="1479D25A" w14:textId="503562C6" w:rsidR="007C163B" w:rsidRDefault="007C163B" w:rsidP="007C163B">
      <w:pPr>
        <w:ind w:firstLine="0"/>
        <w:rPr>
          <w:sz w:val="18"/>
          <w:szCs w:val="19"/>
        </w:rPr>
      </w:pPr>
      <w:r w:rsidRPr="00D871E1">
        <w:rPr>
          <w:sz w:val="18"/>
          <w:szCs w:val="19"/>
        </w:rPr>
        <w:t xml:space="preserve">Figure </w:t>
      </w:r>
      <w:r w:rsidR="00533C7D" w:rsidRPr="00D871E1">
        <w:rPr>
          <w:sz w:val="18"/>
          <w:szCs w:val="19"/>
        </w:rPr>
        <w:t>2</w:t>
      </w:r>
      <w:r w:rsidRPr="00D871E1">
        <w:rPr>
          <w:sz w:val="18"/>
          <w:szCs w:val="19"/>
        </w:rPr>
        <w:t>. N</w:t>
      </w:r>
      <w:r w:rsidRPr="00D871E1">
        <w:rPr>
          <w:sz w:val="18"/>
          <w:szCs w:val="19"/>
          <w:vertAlign w:val="subscript"/>
        </w:rPr>
        <w:t>2</w:t>
      </w:r>
      <w:r w:rsidR="007D4346">
        <w:rPr>
          <w:sz w:val="18"/>
          <w:szCs w:val="19"/>
        </w:rPr>
        <w:t xml:space="preserve"> </w:t>
      </w:r>
      <w:r w:rsidRPr="00D871E1">
        <w:rPr>
          <w:sz w:val="18"/>
          <w:szCs w:val="19"/>
        </w:rPr>
        <w:t>adsorption isotherms for: (a) DM750, (b) MBM750, (c) S</w:t>
      </w:r>
      <w:r w:rsidR="00ED0447" w:rsidRPr="00D871E1">
        <w:rPr>
          <w:sz w:val="18"/>
          <w:szCs w:val="19"/>
        </w:rPr>
        <w:t>P</w:t>
      </w:r>
      <w:r w:rsidRPr="00D871E1">
        <w:rPr>
          <w:sz w:val="18"/>
          <w:szCs w:val="19"/>
        </w:rPr>
        <w:t>750, (d) C750</w:t>
      </w:r>
      <w:r w:rsidR="000211DB">
        <w:rPr>
          <w:sz w:val="18"/>
          <w:szCs w:val="19"/>
        </w:rPr>
        <w:t>.</w:t>
      </w:r>
    </w:p>
    <w:p w14:paraId="1F42E034" w14:textId="77777777" w:rsidR="007C163B" w:rsidRDefault="007C163B" w:rsidP="004A4B52">
      <w:pPr>
        <w:ind w:firstLine="0"/>
      </w:pPr>
    </w:p>
    <w:p w14:paraId="18CA6B2F" w14:textId="42F907ED" w:rsidR="005D1A18" w:rsidRDefault="00ED0447" w:rsidP="005D1A18">
      <w:r>
        <w:t>The multi-point BET analysis was applied to N</w:t>
      </w:r>
      <w:r w:rsidRPr="00E248FE">
        <w:rPr>
          <w:vertAlign w:val="subscript"/>
        </w:rPr>
        <w:t>2</w:t>
      </w:r>
      <w:r w:rsidR="007D4346">
        <w:t xml:space="preserve"> </w:t>
      </w:r>
      <w:r>
        <w:t>adsorption data, obtaining the BET surface areas (S</w:t>
      </w:r>
      <w:r w:rsidRPr="00F86CC0">
        <w:rPr>
          <w:vertAlign w:val="subscript"/>
        </w:rPr>
        <w:t>BET</w:t>
      </w:r>
      <w:r>
        <w:t xml:space="preserve">) summarized in </w:t>
      </w:r>
      <w:r w:rsidRPr="00ED0447">
        <w:t>Table 2.</w:t>
      </w:r>
      <w:r>
        <w:t xml:space="preserve"> As commented, soybean protein and collagene hardly show BET area. Small values </w:t>
      </w:r>
      <w:r w:rsidR="00FD6014">
        <w:t>for the BET surface area</w:t>
      </w:r>
      <w:r>
        <w:t xml:space="preserve"> have been obtained for digested manure and meat and bone meal, much </w:t>
      </w:r>
      <w:r w:rsidR="00FD6014">
        <w:t>smaller</w:t>
      </w:r>
      <w:r>
        <w:t xml:space="preserve"> than usually found in activate</w:t>
      </w:r>
      <w:r w:rsidR="00FD6014">
        <w:t xml:space="preserve">d carbons. </w:t>
      </w:r>
      <w:r w:rsidR="00FD6014" w:rsidRPr="00FD6014">
        <w:t xml:space="preserve">Multi-point BET analyses of </w:t>
      </w:r>
      <w:r w:rsidR="00FD6014">
        <w:t xml:space="preserve">DM750 char </w:t>
      </w:r>
      <w:r w:rsidR="00FD6014" w:rsidRPr="00FD6014">
        <w:lastRenderedPageBreak/>
        <w:t xml:space="preserve">resulted in </w:t>
      </w:r>
      <w:r w:rsidR="00FD6014">
        <w:t>a negative</w:t>
      </w:r>
      <w:r w:rsidR="00FD6014" w:rsidRPr="00FD6014">
        <w:t xml:space="preserve"> C value </w:t>
      </w:r>
      <w:r w:rsidR="00FD6014">
        <w:t>in any range of</w:t>
      </w:r>
      <w:r w:rsidR="00FD6014" w:rsidRPr="00FD6014">
        <w:t xml:space="preserve"> </w:t>
      </w:r>
      <w:r w:rsidR="00FD6014">
        <w:t>P</w:t>
      </w:r>
      <w:r w:rsidR="00FD6014" w:rsidRPr="00FD6014">
        <w:t>/</w:t>
      </w:r>
      <w:r w:rsidR="00FD6014">
        <w:t>P</w:t>
      </w:r>
      <w:r w:rsidR="00FD6014" w:rsidRPr="00FD6014">
        <w:rPr>
          <w:vertAlign w:val="subscript"/>
        </w:rPr>
        <w:t>o</w:t>
      </w:r>
      <w:r w:rsidR="00FD6014">
        <w:rPr>
          <w:vertAlign w:val="subscript"/>
        </w:rPr>
        <w:t xml:space="preserve">, </w:t>
      </w:r>
      <w:r w:rsidR="00FD6014" w:rsidRPr="00FD6014">
        <w:t>so S</w:t>
      </w:r>
      <w:r w:rsidR="00FD6014" w:rsidRPr="00FD6014">
        <w:rPr>
          <w:vertAlign w:val="subscript"/>
        </w:rPr>
        <w:t>BET</w:t>
      </w:r>
      <w:r w:rsidR="00FD6014" w:rsidRPr="00FD6014">
        <w:t xml:space="preserve"> could not be estimated</w:t>
      </w:r>
      <w:r w:rsidR="00FD6014">
        <w:t xml:space="preserve"> for this sample</w:t>
      </w:r>
      <w:r w:rsidR="00FD6014" w:rsidRPr="00FD6014">
        <w:t xml:space="preserve">. </w:t>
      </w:r>
      <w:r>
        <w:t>The t-plot based on the de-Boer equation has also been used to calculate micropore surface area.</w:t>
      </w:r>
      <w:r w:rsidRPr="00E248FE">
        <w:t xml:space="preserve"> </w:t>
      </w:r>
      <w:r>
        <w:t xml:space="preserve"> With this analysis, micropores are proved</w:t>
      </w:r>
      <w:r w:rsidR="00D871E1">
        <w:t xml:space="preserve"> to be present</w:t>
      </w:r>
      <w:r w:rsidR="00FD6014">
        <w:t xml:space="preserve"> in MBM550 and</w:t>
      </w:r>
      <w:r>
        <w:t xml:space="preserve"> MBM750, whose micropore ar</w:t>
      </w:r>
      <w:r w:rsidR="00FD6014">
        <w:t>ea reached 28% and</w:t>
      </w:r>
      <w:r>
        <w:t xml:space="preserve"> 9% of </w:t>
      </w:r>
      <w:r w:rsidR="00D871E1">
        <w:t xml:space="preserve">total </w:t>
      </w:r>
      <w:r>
        <w:t>S</w:t>
      </w:r>
      <w:r w:rsidRPr="00092415">
        <w:rPr>
          <w:vertAlign w:val="subscript"/>
        </w:rPr>
        <w:t>BET</w:t>
      </w:r>
      <w:r w:rsidR="005D1A18">
        <w:t>, respectively.</w:t>
      </w:r>
    </w:p>
    <w:p w14:paraId="3E4F3373" w14:textId="77777777" w:rsidR="00E46261" w:rsidRDefault="00E46261" w:rsidP="005D1A18"/>
    <w:p w14:paraId="770A1266" w14:textId="719D3CDF" w:rsidR="007C163B" w:rsidRDefault="00ED0447" w:rsidP="00962B48">
      <w:pPr>
        <w:ind w:firstLine="0"/>
        <w:rPr>
          <w:sz w:val="18"/>
          <w:szCs w:val="18"/>
        </w:rPr>
      </w:pPr>
      <w:r w:rsidRPr="00D871E1">
        <w:rPr>
          <w:color w:val="000000"/>
          <w:sz w:val="18"/>
          <w:szCs w:val="18"/>
        </w:rPr>
        <w:t>Table 2</w:t>
      </w:r>
      <w:r w:rsidR="007C163B" w:rsidRPr="00D871E1">
        <w:rPr>
          <w:color w:val="000000"/>
          <w:sz w:val="18"/>
          <w:szCs w:val="18"/>
        </w:rPr>
        <w:t xml:space="preserve">. </w:t>
      </w:r>
      <w:r w:rsidR="007D4346">
        <w:rPr>
          <w:sz w:val="18"/>
          <w:szCs w:val="18"/>
        </w:rPr>
        <w:t>Surface area by BET-</w:t>
      </w:r>
      <w:r w:rsidR="007C163B" w:rsidRPr="00D871E1">
        <w:rPr>
          <w:sz w:val="18"/>
          <w:szCs w:val="18"/>
        </w:rPr>
        <w:t>method</w:t>
      </w:r>
      <w:r w:rsidR="007D4346">
        <w:rPr>
          <w:sz w:val="18"/>
          <w:szCs w:val="18"/>
        </w:rPr>
        <w:t xml:space="preserve"> (N</w:t>
      </w:r>
      <w:r w:rsidR="007D4346" w:rsidRPr="007D4346">
        <w:rPr>
          <w:sz w:val="18"/>
          <w:szCs w:val="18"/>
          <w:vertAlign w:val="subscript"/>
        </w:rPr>
        <w:t>2</w:t>
      </w:r>
      <w:r w:rsidR="007D4346">
        <w:rPr>
          <w:sz w:val="18"/>
          <w:szCs w:val="18"/>
        </w:rPr>
        <w:t xml:space="preserve"> adsorption at 77 K)</w:t>
      </w:r>
      <w:r w:rsidR="005D1A18">
        <w:rPr>
          <w:sz w:val="18"/>
          <w:szCs w:val="18"/>
        </w:rPr>
        <w:t>.</w:t>
      </w:r>
    </w:p>
    <w:p w14:paraId="0FF97F81" w14:textId="77777777" w:rsidR="005D1A18" w:rsidRPr="00D871E1" w:rsidRDefault="005D1A18" w:rsidP="005D1A18">
      <w:pPr>
        <w:rPr>
          <w:color w:val="000000"/>
          <w:sz w:val="18"/>
          <w:szCs w:val="18"/>
        </w:rPr>
      </w:pPr>
    </w:p>
    <w:tbl>
      <w:tblPr>
        <w:tblW w:w="4242" w:type="pct"/>
        <w:jc w:val="center"/>
        <w:tblInd w:w="250" w:type="dxa"/>
        <w:tblBorders>
          <w:top w:val="single" w:sz="4" w:space="0" w:color="000000"/>
          <w:bottom w:val="single" w:sz="4" w:space="0" w:color="000000"/>
          <w:insideH w:val="single" w:sz="4" w:space="0" w:color="000000"/>
        </w:tblBorders>
        <w:tblLook w:val="0400" w:firstRow="0" w:lastRow="0" w:firstColumn="0" w:lastColumn="0" w:noHBand="0" w:noVBand="1"/>
      </w:tblPr>
      <w:tblGrid>
        <w:gridCol w:w="995"/>
        <w:gridCol w:w="1131"/>
        <w:gridCol w:w="1135"/>
        <w:gridCol w:w="849"/>
        <w:gridCol w:w="1277"/>
        <w:gridCol w:w="989"/>
        <w:gridCol w:w="996"/>
        <w:gridCol w:w="984"/>
      </w:tblGrid>
      <w:tr w:rsidR="005173B1" w14:paraId="4B756457" w14:textId="77777777" w:rsidTr="00E46261">
        <w:trPr>
          <w:trHeight w:val="280"/>
          <w:jc w:val="center"/>
        </w:trPr>
        <w:tc>
          <w:tcPr>
            <w:tcW w:w="595" w:type="pct"/>
            <w:shd w:val="clear" w:color="auto" w:fill="auto"/>
            <w:vAlign w:val="center"/>
          </w:tcPr>
          <w:p w14:paraId="56E1FEB2" w14:textId="44EFE320" w:rsidR="005173B1" w:rsidRPr="001E711E" w:rsidRDefault="00FD6014" w:rsidP="00FD201A">
            <w:pPr>
              <w:pBdr>
                <w:top w:val="nil"/>
                <w:left w:val="nil"/>
                <w:bottom w:val="nil"/>
                <w:right w:val="nil"/>
                <w:between w:val="nil"/>
              </w:pBdr>
              <w:spacing w:line="240" w:lineRule="auto"/>
              <w:ind w:firstLine="34"/>
              <w:jc w:val="right"/>
              <w:rPr>
                <w:rFonts w:eastAsia="Helvetica Neue" w:cs="Arial"/>
                <w:b/>
                <w:color w:val="000000"/>
                <w:sz w:val="18"/>
                <w:szCs w:val="18"/>
              </w:rPr>
            </w:pPr>
            <w:r>
              <w:rPr>
                <w:rFonts w:eastAsia="Helvetica Neue" w:cs="Arial"/>
                <w:b/>
                <w:color w:val="000000"/>
                <w:sz w:val="18"/>
                <w:szCs w:val="18"/>
              </w:rPr>
              <w:t>D</w:t>
            </w:r>
            <w:r w:rsidR="000D0D78" w:rsidRPr="001E711E">
              <w:rPr>
                <w:rFonts w:eastAsia="Helvetica Neue" w:cs="Arial"/>
                <w:b/>
                <w:color w:val="000000"/>
                <w:sz w:val="18"/>
                <w:szCs w:val="18"/>
              </w:rPr>
              <w:t>M</w:t>
            </w:r>
            <w:r w:rsidR="005173B1" w:rsidRPr="001E711E">
              <w:rPr>
                <w:rFonts w:eastAsia="Helvetica Neue" w:cs="Arial"/>
                <w:b/>
                <w:color w:val="000000"/>
                <w:sz w:val="18"/>
                <w:szCs w:val="18"/>
              </w:rPr>
              <w:t>350:</w:t>
            </w:r>
          </w:p>
        </w:tc>
        <w:tc>
          <w:tcPr>
            <w:tcW w:w="677" w:type="pct"/>
            <w:tcBorders>
              <w:right w:val="nil"/>
            </w:tcBorders>
            <w:shd w:val="clear" w:color="auto" w:fill="auto"/>
            <w:vAlign w:val="center"/>
          </w:tcPr>
          <w:p w14:paraId="36F4D4E5" w14:textId="7F0432B3" w:rsidR="005173B1" w:rsidRPr="00D871E1" w:rsidRDefault="005173B1" w:rsidP="000375B8">
            <w:pPr>
              <w:pBdr>
                <w:top w:val="nil"/>
                <w:left w:val="nil"/>
                <w:bottom w:val="nil"/>
                <w:right w:val="nil"/>
                <w:between w:val="nil"/>
              </w:pBdr>
              <w:spacing w:line="240" w:lineRule="auto"/>
              <w:ind w:firstLine="34"/>
              <w:jc w:val="left"/>
              <w:rPr>
                <w:rFonts w:eastAsia="Helvetica Neue" w:cs="Arial"/>
                <w:color w:val="000000"/>
                <w:sz w:val="18"/>
                <w:szCs w:val="18"/>
              </w:rPr>
            </w:pPr>
            <w:r w:rsidRPr="00D871E1">
              <w:rPr>
                <w:rFonts w:eastAsia="Helvetica Neue" w:cs="Arial"/>
                <w:color w:val="000000"/>
                <w:sz w:val="18"/>
                <w:szCs w:val="18"/>
              </w:rPr>
              <w:t>6 m</w:t>
            </w:r>
            <w:r w:rsidRPr="00D871E1">
              <w:rPr>
                <w:rFonts w:eastAsia="Helvetica Neue" w:cs="Arial"/>
                <w:color w:val="000000"/>
                <w:sz w:val="18"/>
                <w:szCs w:val="18"/>
                <w:vertAlign w:val="superscript"/>
              </w:rPr>
              <w:t>2</w:t>
            </w:r>
            <w:r w:rsidRPr="00D871E1">
              <w:rPr>
                <w:rFonts w:eastAsia="Helvetica Neue" w:cs="Arial"/>
                <w:color w:val="000000"/>
                <w:sz w:val="18"/>
                <w:szCs w:val="18"/>
              </w:rPr>
              <w:t>/g</w:t>
            </w:r>
          </w:p>
        </w:tc>
        <w:tc>
          <w:tcPr>
            <w:tcW w:w="679" w:type="pct"/>
            <w:tcBorders>
              <w:left w:val="nil"/>
            </w:tcBorders>
            <w:vAlign w:val="center"/>
          </w:tcPr>
          <w:p w14:paraId="08903646" w14:textId="5EAC7AAB" w:rsidR="005173B1" w:rsidRPr="001E711E" w:rsidRDefault="005173B1" w:rsidP="00FD201A">
            <w:pPr>
              <w:pBdr>
                <w:top w:val="nil"/>
                <w:left w:val="nil"/>
                <w:bottom w:val="nil"/>
                <w:right w:val="nil"/>
                <w:between w:val="nil"/>
              </w:pBdr>
              <w:spacing w:line="240" w:lineRule="auto"/>
              <w:ind w:firstLine="34"/>
              <w:jc w:val="right"/>
              <w:rPr>
                <w:rFonts w:eastAsia="Helvetica Neue" w:cs="Arial"/>
                <w:b/>
                <w:color w:val="000000"/>
                <w:sz w:val="18"/>
                <w:szCs w:val="18"/>
              </w:rPr>
            </w:pPr>
            <w:r w:rsidRPr="001E711E">
              <w:rPr>
                <w:rFonts w:eastAsia="Helvetica Neue" w:cs="Arial"/>
                <w:b/>
                <w:color w:val="000000"/>
                <w:sz w:val="18"/>
                <w:szCs w:val="18"/>
              </w:rPr>
              <w:t>MBM350:</w:t>
            </w:r>
          </w:p>
        </w:tc>
        <w:tc>
          <w:tcPr>
            <w:tcW w:w="508" w:type="pct"/>
            <w:tcBorders>
              <w:right w:val="nil"/>
            </w:tcBorders>
            <w:shd w:val="clear" w:color="auto" w:fill="auto"/>
            <w:vAlign w:val="center"/>
          </w:tcPr>
          <w:p w14:paraId="6998340C" w14:textId="61B615FC" w:rsidR="005173B1" w:rsidRPr="00D871E1" w:rsidRDefault="005173B1" w:rsidP="000375B8">
            <w:pPr>
              <w:pBdr>
                <w:top w:val="nil"/>
                <w:left w:val="nil"/>
                <w:bottom w:val="nil"/>
                <w:right w:val="nil"/>
                <w:between w:val="nil"/>
              </w:pBdr>
              <w:spacing w:line="240" w:lineRule="auto"/>
              <w:ind w:firstLine="34"/>
              <w:jc w:val="left"/>
              <w:rPr>
                <w:rFonts w:eastAsia="Helvetica Neue" w:cs="Arial"/>
                <w:color w:val="000000"/>
                <w:sz w:val="18"/>
                <w:szCs w:val="18"/>
              </w:rPr>
            </w:pPr>
            <w:r w:rsidRPr="00D871E1">
              <w:rPr>
                <w:rFonts w:eastAsia="Helvetica Neue" w:cs="Arial"/>
                <w:color w:val="000000"/>
                <w:sz w:val="18"/>
                <w:szCs w:val="18"/>
              </w:rPr>
              <w:t>5 m</w:t>
            </w:r>
            <w:r w:rsidRPr="00D871E1">
              <w:rPr>
                <w:rFonts w:eastAsia="Helvetica Neue" w:cs="Arial"/>
                <w:color w:val="000000"/>
                <w:sz w:val="18"/>
                <w:szCs w:val="18"/>
                <w:vertAlign w:val="superscript"/>
              </w:rPr>
              <w:t>2</w:t>
            </w:r>
            <w:r w:rsidRPr="00D871E1">
              <w:rPr>
                <w:rFonts w:eastAsia="Helvetica Neue" w:cs="Arial"/>
                <w:color w:val="000000"/>
                <w:sz w:val="18"/>
                <w:szCs w:val="18"/>
              </w:rPr>
              <w:t>/g</w:t>
            </w:r>
          </w:p>
        </w:tc>
        <w:tc>
          <w:tcPr>
            <w:tcW w:w="764" w:type="pct"/>
            <w:tcBorders>
              <w:left w:val="nil"/>
            </w:tcBorders>
            <w:vAlign w:val="center"/>
          </w:tcPr>
          <w:p w14:paraId="183B40F5" w14:textId="5B4DDC24" w:rsidR="005173B1" w:rsidRPr="001E711E" w:rsidRDefault="005173B1" w:rsidP="000D0D78">
            <w:pPr>
              <w:pBdr>
                <w:top w:val="nil"/>
                <w:left w:val="nil"/>
                <w:bottom w:val="nil"/>
                <w:right w:val="nil"/>
                <w:between w:val="nil"/>
              </w:pBdr>
              <w:spacing w:line="240" w:lineRule="auto"/>
              <w:ind w:firstLine="34"/>
              <w:jc w:val="right"/>
              <w:rPr>
                <w:rFonts w:eastAsia="Helvetica Neue" w:cs="Arial"/>
                <w:b/>
                <w:color w:val="000000"/>
                <w:sz w:val="18"/>
                <w:szCs w:val="18"/>
              </w:rPr>
            </w:pPr>
            <w:r w:rsidRPr="001E711E">
              <w:rPr>
                <w:rFonts w:eastAsia="Helvetica Neue" w:cs="Arial"/>
                <w:b/>
                <w:color w:val="000000"/>
                <w:sz w:val="18"/>
                <w:szCs w:val="18"/>
              </w:rPr>
              <w:t>C350:</w:t>
            </w:r>
          </w:p>
        </w:tc>
        <w:tc>
          <w:tcPr>
            <w:tcW w:w="592" w:type="pct"/>
            <w:tcBorders>
              <w:right w:val="nil"/>
            </w:tcBorders>
            <w:shd w:val="clear" w:color="auto" w:fill="auto"/>
            <w:vAlign w:val="center"/>
          </w:tcPr>
          <w:p w14:paraId="0F11AEEB" w14:textId="04C7297D" w:rsidR="005173B1" w:rsidRPr="00D871E1" w:rsidRDefault="005173B1" w:rsidP="000375B8">
            <w:pPr>
              <w:pBdr>
                <w:top w:val="nil"/>
                <w:left w:val="nil"/>
                <w:bottom w:val="nil"/>
                <w:right w:val="nil"/>
                <w:between w:val="nil"/>
              </w:pBdr>
              <w:spacing w:line="240" w:lineRule="auto"/>
              <w:ind w:firstLine="34"/>
              <w:jc w:val="left"/>
              <w:rPr>
                <w:rFonts w:eastAsia="Helvetica Neue" w:cs="Arial"/>
                <w:color w:val="000000"/>
                <w:sz w:val="18"/>
                <w:szCs w:val="18"/>
              </w:rPr>
            </w:pPr>
            <w:r w:rsidRPr="00D871E1">
              <w:rPr>
                <w:rFonts w:eastAsia="Helvetica Neue" w:cs="Arial"/>
                <w:color w:val="000000"/>
                <w:sz w:val="18"/>
                <w:szCs w:val="18"/>
              </w:rPr>
              <w:t>1 m</w:t>
            </w:r>
            <w:r w:rsidRPr="00D871E1">
              <w:rPr>
                <w:rFonts w:eastAsia="Helvetica Neue" w:cs="Arial"/>
                <w:color w:val="000000"/>
                <w:sz w:val="18"/>
                <w:szCs w:val="18"/>
                <w:vertAlign w:val="superscript"/>
              </w:rPr>
              <w:t>2</w:t>
            </w:r>
            <w:r w:rsidRPr="00D871E1">
              <w:rPr>
                <w:rFonts w:eastAsia="Helvetica Neue" w:cs="Arial"/>
                <w:color w:val="000000"/>
                <w:sz w:val="18"/>
                <w:szCs w:val="18"/>
              </w:rPr>
              <w:t>/g</w:t>
            </w:r>
          </w:p>
        </w:tc>
        <w:tc>
          <w:tcPr>
            <w:tcW w:w="596" w:type="pct"/>
            <w:tcBorders>
              <w:left w:val="nil"/>
            </w:tcBorders>
            <w:vAlign w:val="center"/>
          </w:tcPr>
          <w:p w14:paraId="4937D830" w14:textId="1893D3F8" w:rsidR="005173B1" w:rsidRPr="00D871E1" w:rsidRDefault="005173B1" w:rsidP="00FD201A">
            <w:pPr>
              <w:pBdr>
                <w:top w:val="nil"/>
                <w:left w:val="nil"/>
                <w:bottom w:val="nil"/>
                <w:right w:val="nil"/>
                <w:between w:val="nil"/>
              </w:pBdr>
              <w:spacing w:line="240" w:lineRule="auto"/>
              <w:ind w:firstLine="34"/>
              <w:jc w:val="right"/>
              <w:rPr>
                <w:rFonts w:eastAsia="Helvetica Neue" w:cs="Arial"/>
                <w:color w:val="000000"/>
                <w:sz w:val="18"/>
                <w:szCs w:val="18"/>
              </w:rPr>
            </w:pPr>
            <w:r w:rsidRPr="00D871E1">
              <w:rPr>
                <w:rFonts w:eastAsia="Helvetica Neue" w:cs="Arial"/>
                <w:color w:val="000000"/>
                <w:sz w:val="18"/>
                <w:szCs w:val="18"/>
              </w:rPr>
              <w:t>S</w:t>
            </w:r>
            <w:r w:rsidR="00ED0447" w:rsidRPr="00D871E1">
              <w:rPr>
                <w:rFonts w:eastAsia="Helvetica Neue" w:cs="Arial"/>
                <w:color w:val="000000"/>
                <w:sz w:val="18"/>
                <w:szCs w:val="18"/>
              </w:rPr>
              <w:t>P</w:t>
            </w:r>
            <w:r w:rsidRPr="00D871E1">
              <w:rPr>
                <w:rFonts w:eastAsia="Helvetica Neue" w:cs="Arial"/>
                <w:color w:val="000000"/>
                <w:sz w:val="18"/>
                <w:szCs w:val="18"/>
              </w:rPr>
              <w:t>350:</w:t>
            </w:r>
          </w:p>
        </w:tc>
        <w:tc>
          <w:tcPr>
            <w:tcW w:w="589" w:type="pct"/>
            <w:vAlign w:val="center"/>
          </w:tcPr>
          <w:p w14:paraId="347018D5" w14:textId="6BFE74FD" w:rsidR="005173B1" w:rsidRPr="00D871E1" w:rsidRDefault="005173B1" w:rsidP="000375B8">
            <w:pPr>
              <w:pBdr>
                <w:top w:val="nil"/>
                <w:left w:val="nil"/>
                <w:bottom w:val="nil"/>
                <w:right w:val="nil"/>
                <w:between w:val="nil"/>
              </w:pBdr>
              <w:spacing w:line="240" w:lineRule="auto"/>
              <w:ind w:firstLine="34"/>
              <w:jc w:val="left"/>
              <w:rPr>
                <w:rFonts w:eastAsia="Helvetica Neue" w:cs="Arial"/>
                <w:color w:val="000000"/>
                <w:sz w:val="18"/>
                <w:szCs w:val="18"/>
              </w:rPr>
            </w:pPr>
            <w:r w:rsidRPr="00D871E1">
              <w:rPr>
                <w:rFonts w:eastAsia="Helvetica Neue" w:cs="Arial"/>
                <w:color w:val="000000"/>
                <w:sz w:val="18"/>
                <w:szCs w:val="18"/>
              </w:rPr>
              <w:t>6 m</w:t>
            </w:r>
            <w:r w:rsidRPr="00D871E1">
              <w:rPr>
                <w:rFonts w:eastAsia="Helvetica Neue" w:cs="Arial"/>
                <w:color w:val="000000"/>
                <w:sz w:val="18"/>
                <w:szCs w:val="18"/>
                <w:vertAlign w:val="superscript"/>
              </w:rPr>
              <w:t>2</w:t>
            </w:r>
            <w:r w:rsidRPr="00D871E1">
              <w:rPr>
                <w:rFonts w:eastAsia="Helvetica Neue" w:cs="Arial"/>
                <w:color w:val="000000"/>
                <w:sz w:val="18"/>
                <w:szCs w:val="18"/>
              </w:rPr>
              <w:t>/g</w:t>
            </w:r>
          </w:p>
        </w:tc>
      </w:tr>
      <w:tr w:rsidR="005173B1" w14:paraId="1284DFB7" w14:textId="77777777" w:rsidTr="00E46261">
        <w:trPr>
          <w:trHeight w:val="285"/>
          <w:jc w:val="center"/>
        </w:trPr>
        <w:tc>
          <w:tcPr>
            <w:tcW w:w="595" w:type="pct"/>
            <w:shd w:val="clear" w:color="auto" w:fill="auto"/>
            <w:vAlign w:val="center"/>
          </w:tcPr>
          <w:p w14:paraId="719749F3" w14:textId="28B32563" w:rsidR="005173B1" w:rsidRPr="001E711E" w:rsidRDefault="00FD6014" w:rsidP="00FD201A">
            <w:pPr>
              <w:pBdr>
                <w:top w:val="nil"/>
                <w:left w:val="nil"/>
                <w:bottom w:val="nil"/>
                <w:right w:val="nil"/>
                <w:between w:val="nil"/>
              </w:pBdr>
              <w:spacing w:line="240" w:lineRule="auto"/>
              <w:ind w:firstLine="34"/>
              <w:jc w:val="right"/>
              <w:rPr>
                <w:rFonts w:eastAsia="Helvetica Neue" w:cs="Arial"/>
                <w:b/>
                <w:color w:val="000000"/>
                <w:sz w:val="18"/>
                <w:szCs w:val="18"/>
              </w:rPr>
            </w:pPr>
            <w:r>
              <w:rPr>
                <w:rFonts w:eastAsia="Helvetica Neue" w:cs="Arial"/>
                <w:b/>
                <w:color w:val="000000"/>
                <w:sz w:val="18"/>
                <w:szCs w:val="18"/>
              </w:rPr>
              <w:t>D</w:t>
            </w:r>
            <w:r w:rsidR="000D0D78" w:rsidRPr="001E711E">
              <w:rPr>
                <w:rFonts w:eastAsia="Helvetica Neue" w:cs="Arial"/>
                <w:b/>
                <w:color w:val="000000"/>
                <w:sz w:val="18"/>
                <w:szCs w:val="18"/>
              </w:rPr>
              <w:t>M</w:t>
            </w:r>
            <w:r w:rsidR="005173B1" w:rsidRPr="001E711E">
              <w:rPr>
                <w:rFonts w:eastAsia="Helvetica Neue" w:cs="Arial"/>
                <w:b/>
                <w:color w:val="000000"/>
                <w:sz w:val="18"/>
                <w:szCs w:val="18"/>
              </w:rPr>
              <w:t>550:</w:t>
            </w:r>
          </w:p>
        </w:tc>
        <w:tc>
          <w:tcPr>
            <w:tcW w:w="677" w:type="pct"/>
            <w:tcBorders>
              <w:right w:val="nil"/>
            </w:tcBorders>
            <w:shd w:val="clear" w:color="auto" w:fill="auto"/>
            <w:vAlign w:val="center"/>
          </w:tcPr>
          <w:p w14:paraId="53FCE224" w14:textId="742E6F9B" w:rsidR="005173B1" w:rsidRPr="00D871E1" w:rsidRDefault="005173B1" w:rsidP="000375B8">
            <w:pPr>
              <w:pBdr>
                <w:top w:val="nil"/>
                <w:left w:val="nil"/>
                <w:bottom w:val="nil"/>
                <w:right w:val="nil"/>
                <w:between w:val="nil"/>
              </w:pBdr>
              <w:spacing w:line="240" w:lineRule="auto"/>
              <w:ind w:firstLine="34"/>
              <w:jc w:val="left"/>
              <w:rPr>
                <w:rFonts w:eastAsia="Helvetica Neue" w:cs="Arial"/>
                <w:color w:val="000000"/>
                <w:sz w:val="18"/>
                <w:szCs w:val="18"/>
              </w:rPr>
            </w:pPr>
            <w:r w:rsidRPr="00D871E1">
              <w:rPr>
                <w:rFonts w:eastAsia="Helvetica Neue" w:cs="Arial"/>
                <w:color w:val="000000"/>
                <w:sz w:val="18"/>
                <w:szCs w:val="18"/>
              </w:rPr>
              <w:t>16 m</w:t>
            </w:r>
            <w:r w:rsidRPr="00D871E1">
              <w:rPr>
                <w:rFonts w:eastAsia="Helvetica Neue" w:cs="Arial"/>
                <w:color w:val="000000"/>
                <w:sz w:val="18"/>
                <w:szCs w:val="18"/>
                <w:vertAlign w:val="superscript"/>
              </w:rPr>
              <w:t>2</w:t>
            </w:r>
            <w:r w:rsidRPr="00D871E1">
              <w:rPr>
                <w:rFonts w:eastAsia="Helvetica Neue" w:cs="Arial"/>
                <w:color w:val="000000"/>
                <w:sz w:val="18"/>
                <w:szCs w:val="18"/>
              </w:rPr>
              <w:t>/g</w:t>
            </w:r>
          </w:p>
        </w:tc>
        <w:tc>
          <w:tcPr>
            <w:tcW w:w="679" w:type="pct"/>
            <w:tcBorders>
              <w:left w:val="nil"/>
            </w:tcBorders>
            <w:vAlign w:val="center"/>
          </w:tcPr>
          <w:p w14:paraId="5E9AEE8A" w14:textId="504FAD1E" w:rsidR="005173B1" w:rsidRPr="001E711E" w:rsidRDefault="005173B1" w:rsidP="00FD201A">
            <w:pPr>
              <w:pBdr>
                <w:top w:val="nil"/>
                <w:left w:val="nil"/>
                <w:bottom w:val="nil"/>
                <w:right w:val="nil"/>
                <w:between w:val="nil"/>
              </w:pBdr>
              <w:spacing w:line="240" w:lineRule="auto"/>
              <w:ind w:firstLine="34"/>
              <w:jc w:val="right"/>
              <w:rPr>
                <w:rFonts w:eastAsia="Helvetica Neue" w:cs="Arial"/>
                <w:b/>
                <w:color w:val="000000"/>
                <w:sz w:val="18"/>
                <w:szCs w:val="18"/>
              </w:rPr>
            </w:pPr>
            <w:r w:rsidRPr="001E711E">
              <w:rPr>
                <w:rFonts w:eastAsia="Helvetica Neue" w:cs="Arial"/>
                <w:b/>
                <w:color w:val="000000"/>
                <w:sz w:val="18"/>
                <w:szCs w:val="18"/>
              </w:rPr>
              <w:t>MBM550:</w:t>
            </w:r>
          </w:p>
        </w:tc>
        <w:tc>
          <w:tcPr>
            <w:tcW w:w="508" w:type="pct"/>
            <w:tcBorders>
              <w:right w:val="nil"/>
            </w:tcBorders>
            <w:shd w:val="clear" w:color="auto" w:fill="auto"/>
            <w:vAlign w:val="center"/>
          </w:tcPr>
          <w:p w14:paraId="277C6A74" w14:textId="7B040C57" w:rsidR="005173B1" w:rsidRPr="00D871E1" w:rsidRDefault="005173B1" w:rsidP="000375B8">
            <w:pPr>
              <w:pBdr>
                <w:top w:val="nil"/>
                <w:left w:val="nil"/>
                <w:bottom w:val="nil"/>
                <w:right w:val="nil"/>
                <w:between w:val="nil"/>
              </w:pBdr>
              <w:spacing w:line="240" w:lineRule="auto"/>
              <w:ind w:firstLine="34"/>
              <w:jc w:val="left"/>
              <w:rPr>
                <w:rFonts w:eastAsia="Helvetica Neue" w:cs="Arial"/>
                <w:color w:val="000000"/>
                <w:sz w:val="18"/>
                <w:szCs w:val="18"/>
              </w:rPr>
            </w:pPr>
            <w:r w:rsidRPr="00D871E1">
              <w:rPr>
                <w:rFonts w:eastAsia="Helvetica Neue" w:cs="Arial"/>
                <w:color w:val="000000"/>
                <w:sz w:val="18"/>
                <w:szCs w:val="18"/>
              </w:rPr>
              <w:t>28 m</w:t>
            </w:r>
            <w:r w:rsidRPr="00D871E1">
              <w:rPr>
                <w:rFonts w:eastAsia="Helvetica Neue" w:cs="Arial"/>
                <w:color w:val="000000"/>
                <w:sz w:val="18"/>
                <w:szCs w:val="18"/>
                <w:vertAlign w:val="superscript"/>
              </w:rPr>
              <w:t>2</w:t>
            </w:r>
            <w:r w:rsidRPr="00D871E1">
              <w:rPr>
                <w:rFonts w:eastAsia="Helvetica Neue" w:cs="Arial"/>
                <w:color w:val="000000"/>
                <w:sz w:val="18"/>
                <w:szCs w:val="18"/>
              </w:rPr>
              <w:t>/g</w:t>
            </w:r>
          </w:p>
        </w:tc>
        <w:tc>
          <w:tcPr>
            <w:tcW w:w="764" w:type="pct"/>
            <w:tcBorders>
              <w:left w:val="nil"/>
            </w:tcBorders>
            <w:vAlign w:val="center"/>
          </w:tcPr>
          <w:p w14:paraId="5AD85136" w14:textId="55032FF0" w:rsidR="005173B1" w:rsidRPr="001E711E" w:rsidRDefault="005173B1" w:rsidP="00FD201A">
            <w:pPr>
              <w:pBdr>
                <w:top w:val="nil"/>
                <w:left w:val="nil"/>
                <w:bottom w:val="nil"/>
                <w:right w:val="nil"/>
                <w:between w:val="nil"/>
              </w:pBdr>
              <w:spacing w:line="240" w:lineRule="auto"/>
              <w:ind w:firstLine="34"/>
              <w:jc w:val="right"/>
              <w:rPr>
                <w:rFonts w:eastAsia="Helvetica Neue" w:cs="Arial"/>
                <w:b/>
                <w:color w:val="000000"/>
                <w:sz w:val="18"/>
                <w:szCs w:val="18"/>
              </w:rPr>
            </w:pPr>
            <w:r w:rsidRPr="001E711E">
              <w:rPr>
                <w:rFonts w:eastAsia="Helvetica Neue" w:cs="Arial"/>
                <w:b/>
                <w:color w:val="000000"/>
                <w:sz w:val="18"/>
                <w:szCs w:val="18"/>
              </w:rPr>
              <w:t>C550:</w:t>
            </w:r>
          </w:p>
        </w:tc>
        <w:tc>
          <w:tcPr>
            <w:tcW w:w="592" w:type="pct"/>
            <w:tcBorders>
              <w:right w:val="nil"/>
            </w:tcBorders>
            <w:shd w:val="clear" w:color="auto" w:fill="auto"/>
            <w:vAlign w:val="center"/>
          </w:tcPr>
          <w:p w14:paraId="6B0CA2C7" w14:textId="3B8E92A6" w:rsidR="005173B1" w:rsidRPr="00D871E1" w:rsidRDefault="005173B1" w:rsidP="000375B8">
            <w:pPr>
              <w:pBdr>
                <w:top w:val="nil"/>
                <w:left w:val="nil"/>
                <w:bottom w:val="nil"/>
                <w:right w:val="nil"/>
                <w:between w:val="nil"/>
              </w:pBdr>
              <w:spacing w:line="240" w:lineRule="auto"/>
              <w:ind w:firstLine="34"/>
              <w:jc w:val="left"/>
              <w:rPr>
                <w:rFonts w:eastAsia="Helvetica Neue" w:cs="Arial"/>
                <w:color w:val="000000"/>
                <w:sz w:val="18"/>
                <w:szCs w:val="18"/>
              </w:rPr>
            </w:pPr>
            <w:r w:rsidRPr="00D871E1">
              <w:rPr>
                <w:rFonts w:eastAsia="Helvetica Neue" w:cs="Arial"/>
                <w:color w:val="000000"/>
                <w:sz w:val="18"/>
                <w:szCs w:val="18"/>
              </w:rPr>
              <w:t>1 m</w:t>
            </w:r>
            <w:r w:rsidRPr="00D871E1">
              <w:rPr>
                <w:rFonts w:eastAsia="Helvetica Neue" w:cs="Arial"/>
                <w:color w:val="000000"/>
                <w:sz w:val="18"/>
                <w:szCs w:val="18"/>
                <w:vertAlign w:val="superscript"/>
              </w:rPr>
              <w:t>2</w:t>
            </w:r>
            <w:r w:rsidRPr="00D871E1">
              <w:rPr>
                <w:rFonts w:eastAsia="Helvetica Neue" w:cs="Arial"/>
                <w:color w:val="000000"/>
                <w:sz w:val="18"/>
                <w:szCs w:val="18"/>
              </w:rPr>
              <w:t>/g</w:t>
            </w:r>
          </w:p>
        </w:tc>
        <w:tc>
          <w:tcPr>
            <w:tcW w:w="596" w:type="pct"/>
            <w:tcBorders>
              <w:left w:val="nil"/>
            </w:tcBorders>
            <w:vAlign w:val="center"/>
          </w:tcPr>
          <w:p w14:paraId="493B3902" w14:textId="7A3785C4" w:rsidR="005173B1" w:rsidRPr="00D871E1" w:rsidRDefault="005173B1" w:rsidP="00FD201A">
            <w:pPr>
              <w:pBdr>
                <w:top w:val="nil"/>
                <w:left w:val="nil"/>
                <w:bottom w:val="nil"/>
                <w:right w:val="nil"/>
                <w:between w:val="nil"/>
              </w:pBdr>
              <w:spacing w:line="240" w:lineRule="auto"/>
              <w:ind w:firstLine="34"/>
              <w:jc w:val="right"/>
              <w:rPr>
                <w:rFonts w:eastAsia="Helvetica Neue" w:cs="Arial"/>
                <w:color w:val="000000"/>
                <w:sz w:val="18"/>
                <w:szCs w:val="18"/>
              </w:rPr>
            </w:pPr>
            <w:r w:rsidRPr="00D871E1">
              <w:rPr>
                <w:rFonts w:eastAsia="Helvetica Neue" w:cs="Arial"/>
                <w:color w:val="000000"/>
                <w:sz w:val="18"/>
                <w:szCs w:val="18"/>
              </w:rPr>
              <w:t>S</w:t>
            </w:r>
            <w:r w:rsidR="00ED0447" w:rsidRPr="00D871E1">
              <w:rPr>
                <w:rFonts w:eastAsia="Helvetica Neue" w:cs="Arial"/>
                <w:color w:val="000000"/>
                <w:sz w:val="18"/>
                <w:szCs w:val="18"/>
              </w:rPr>
              <w:t>P</w:t>
            </w:r>
            <w:r w:rsidRPr="00D871E1">
              <w:rPr>
                <w:rFonts w:eastAsia="Helvetica Neue" w:cs="Arial"/>
                <w:color w:val="000000"/>
                <w:sz w:val="18"/>
                <w:szCs w:val="18"/>
              </w:rPr>
              <w:t>550:</w:t>
            </w:r>
          </w:p>
        </w:tc>
        <w:tc>
          <w:tcPr>
            <w:tcW w:w="589" w:type="pct"/>
            <w:vAlign w:val="center"/>
          </w:tcPr>
          <w:p w14:paraId="5ECDA6CD" w14:textId="3AD3A1A6" w:rsidR="005173B1" w:rsidRPr="00D871E1" w:rsidRDefault="005173B1" w:rsidP="000375B8">
            <w:pPr>
              <w:pBdr>
                <w:top w:val="nil"/>
                <w:left w:val="nil"/>
                <w:bottom w:val="nil"/>
                <w:right w:val="nil"/>
                <w:between w:val="nil"/>
              </w:pBdr>
              <w:spacing w:line="240" w:lineRule="auto"/>
              <w:ind w:firstLine="34"/>
              <w:jc w:val="left"/>
              <w:rPr>
                <w:rFonts w:eastAsia="Helvetica Neue" w:cs="Arial"/>
                <w:color w:val="000000"/>
                <w:sz w:val="18"/>
                <w:szCs w:val="18"/>
              </w:rPr>
            </w:pPr>
            <w:r w:rsidRPr="00D871E1">
              <w:rPr>
                <w:rFonts w:eastAsia="Helvetica Neue" w:cs="Arial"/>
                <w:color w:val="000000"/>
                <w:sz w:val="18"/>
                <w:szCs w:val="18"/>
              </w:rPr>
              <w:t>1 m</w:t>
            </w:r>
            <w:r w:rsidRPr="00D871E1">
              <w:rPr>
                <w:rFonts w:eastAsia="Helvetica Neue" w:cs="Arial"/>
                <w:color w:val="000000"/>
                <w:sz w:val="18"/>
                <w:szCs w:val="18"/>
                <w:vertAlign w:val="superscript"/>
              </w:rPr>
              <w:t>2</w:t>
            </w:r>
            <w:r w:rsidRPr="00D871E1">
              <w:rPr>
                <w:rFonts w:eastAsia="Helvetica Neue" w:cs="Arial"/>
                <w:color w:val="000000"/>
                <w:sz w:val="18"/>
                <w:szCs w:val="18"/>
              </w:rPr>
              <w:t>/g</w:t>
            </w:r>
          </w:p>
        </w:tc>
      </w:tr>
      <w:tr w:rsidR="005173B1" w14:paraId="61F7EED2" w14:textId="77777777" w:rsidTr="00E46261">
        <w:trPr>
          <w:trHeight w:val="260"/>
          <w:jc w:val="center"/>
        </w:trPr>
        <w:tc>
          <w:tcPr>
            <w:tcW w:w="595" w:type="pct"/>
            <w:shd w:val="clear" w:color="auto" w:fill="auto"/>
            <w:vAlign w:val="center"/>
          </w:tcPr>
          <w:p w14:paraId="0E872FC6" w14:textId="624A0F36" w:rsidR="005173B1" w:rsidRPr="001E711E" w:rsidRDefault="00FD6014" w:rsidP="00FD201A">
            <w:pPr>
              <w:pBdr>
                <w:top w:val="nil"/>
                <w:left w:val="nil"/>
                <w:bottom w:val="nil"/>
                <w:right w:val="nil"/>
                <w:between w:val="nil"/>
              </w:pBdr>
              <w:spacing w:line="240" w:lineRule="auto"/>
              <w:ind w:firstLine="34"/>
              <w:jc w:val="right"/>
              <w:rPr>
                <w:rFonts w:eastAsia="Helvetica Neue" w:cs="Arial"/>
                <w:b/>
                <w:color w:val="000000"/>
                <w:sz w:val="18"/>
                <w:szCs w:val="18"/>
              </w:rPr>
            </w:pPr>
            <w:r>
              <w:rPr>
                <w:rFonts w:eastAsia="Helvetica Neue" w:cs="Arial"/>
                <w:b/>
                <w:color w:val="000000"/>
                <w:sz w:val="18"/>
                <w:szCs w:val="18"/>
              </w:rPr>
              <w:t>D</w:t>
            </w:r>
            <w:r w:rsidR="000D0D78" w:rsidRPr="001E711E">
              <w:rPr>
                <w:rFonts w:eastAsia="Helvetica Neue" w:cs="Arial"/>
                <w:b/>
                <w:color w:val="000000"/>
                <w:sz w:val="18"/>
                <w:szCs w:val="18"/>
              </w:rPr>
              <w:t>M</w:t>
            </w:r>
            <w:r w:rsidR="005173B1" w:rsidRPr="001E711E">
              <w:rPr>
                <w:rFonts w:eastAsia="Helvetica Neue" w:cs="Arial"/>
                <w:b/>
                <w:color w:val="000000"/>
                <w:sz w:val="18"/>
                <w:szCs w:val="18"/>
              </w:rPr>
              <w:t>750:</w:t>
            </w:r>
          </w:p>
        </w:tc>
        <w:tc>
          <w:tcPr>
            <w:tcW w:w="677" w:type="pct"/>
            <w:tcBorders>
              <w:right w:val="nil"/>
            </w:tcBorders>
            <w:shd w:val="clear" w:color="auto" w:fill="auto"/>
            <w:vAlign w:val="center"/>
          </w:tcPr>
          <w:p w14:paraId="73406C8F" w14:textId="3BB86291" w:rsidR="005173B1" w:rsidRPr="00D871E1" w:rsidRDefault="00FD6014" w:rsidP="00FD6014">
            <w:pPr>
              <w:pBdr>
                <w:top w:val="nil"/>
                <w:left w:val="nil"/>
                <w:bottom w:val="nil"/>
                <w:right w:val="nil"/>
                <w:between w:val="nil"/>
              </w:pBdr>
              <w:spacing w:line="240" w:lineRule="auto"/>
              <w:ind w:firstLine="34"/>
              <w:jc w:val="left"/>
              <w:rPr>
                <w:rFonts w:eastAsia="Helvetica Neue" w:cs="Arial"/>
                <w:color w:val="000000"/>
                <w:sz w:val="18"/>
                <w:szCs w:val="18"/>
              </w:rPr>
            </w:pPr>
            <w:r>
              <w:rPr>
                <w:rFonts w:eastAsia="Helvetica Neue" w:cs="Arial"/>
                <w:color w:val="000000"/>
                <w:sz w:val="18"/>
                <w:szCs w:val="18"/>
              </w:rPr>
              <w:t>---</w:t>
            </w:r>
          </w:p>
        </w:tc>
        <w:tc>
          <w:tcPr>
            <w:tcW w:w="679" w:type="pct"/>
            <w:tcBorders>
              <w:left w:val="nil"/>
            </w:tcBorders>
            <w:vAlign w:val="center"/>
          </w:tcPr>
          <w:p w14:paraId="2C8E4214" w14:textId="5987765B" w:rsidR="005173B1" w:rsidRPr="001E711E" w:rsidRDefault="005173B1" w:rsidP="00FD201A">
            <w:pPr>
              <w:pBdr>
                <w:top w:val="nil"/>
                <w:left w:val="nil"/>
                <w:bottom w:val="nil"/>
                <w:right w:val="nil"/>
                <w:between w:val="nil"/>
              </w:pBdr>
              <w:spacing w:line="240" w:lineRule="auto"/>
              <w:ind w:firstLine="34"/>
              <w:jc w:val="right"/>
              <w:rPr>
                <w:rFonts w:eastAsia="Helvetica Neue" w:cs="Arial"/>
                <w:b/>
                <w:color w:val="000000"/>
                <w:sz w:val="18"/>
                <w:szCs w:val="18"/>
              </w:rPr>
            </w:pPr>
            <w:r w:rsidRPr="001E711E">
              <w:rPr>
                <w:rFonts w:eastAsia="Helvetica Neue" w:cs="Arial"/>
                <w:b/>
                <w:color w:val="000000"/>
                <w:sz w:val="18"/>
                <w:szCs w:val="18"/>
              </w:rPr>
              <w:t>MBM750:</w:t>
            </w:r>
          </w:p>
        </w:tc>
        <w:tc>
          <w:tcPr>
            <w:tcW w:w="508" w:type="pct"/>
            <w:tcBorders>
              <w:right w:val="nil"/>
            </w:tcBorders>
            <w:shd w:val="clear" w:color="auto" w:fill="auto"/>
            <w:vAlign w:val="center"/>
          </w:tcPr>
          <w:p w14:paraId="09919B8B" w14:textId="3CE8F61C" w:rsidR="005173B1" w:rsidRPr="00D871E1" w:rsidRDefault="005173B1" w:rsidP="000375B8">
            <w:pPr>
              <w:pBdr>
                <w:top w:val="nil"/>
                <w:left w:val="nil"/>
                <w:bottom w:val="nil"/>
                <w:right w:val="nil"/>
                <w:between w:val="nil"/>
              </w:pBdr>
              <w:spacing w:line="240" w:lineRule="auto"/>
              <w:ind w:firstLine="34"/>
              <w:jc w:val="left"/>
              <w:rPr>
                <w:rFonts w:eastAsia="Helvetica Neue" w:cs="Arial"/>
                <w:color w:val="000000"/>
                <w:sz w:val="18"/>
                <w:szCs w:val="18"/>
              </w:rPr>
            </w:pPr>
            <w:r w:rsidRPr="00D871E1">
              <w:rPr>
                <w:rFonts w:eastAsia="Helvetica Neue" w:cs="Arial"/>
                <w:color w:val="000000"/>
                <w:sz w:val="18"/>
                <w:szCs w:val="18"/>
              </w:rPr>
              <w:t>29 m</w:t>
            </w:r>
            <w:r w:rsidRPr="00D871E1">
              <w:rPr>
                <w:rFonts w:eastAsia="Helvetica Neue" w:cs="Arial"/>
                <w:color w:val="000000"/>
                <w:sz w:val="18"/>
                <w:szCs w:val="18"/>
                <w:vertAlign w:val="superscript"/>
              </w:rPr>
              <w:t>2</w:t>
            </w:r>
            <w:r w:rsidRPr="00D871E1">
              <w:rPr>
                <w:rFonts w:eastAsia="Helvetica Neue" w:cs="Arial"/>
                <w:color w:val="000000"/>
                <w:sz w:val="18"/>
                <w:szCs w:val="18"/>
              </w:rPr>
              <w:t>/g</w:t>
            </w:r>
          </w:p>
        </w:tc>
        <w:tc>
          <w:tcPr>
            <w:tcW w:w="764" w:type="pct"/>
            <w:tcBorders>
              <w:left w:val="nil"/>
            </w:tcBorders>
            <w:vAlign w:val="center"/>
          </w:tcPr>
          <w:p w14:paraId="051BB50F" w14:textId="4EFB7934" w:rsidR="005173B1" w:rsidRPr="001E711E" w:rsidRDefault="005173B1" w:rsidP="00FD201A">
            <w:pPr>
              <w:pBdr>
                <w:top w:val="nil"/>
                <w:left w:val="nil"/>
                <w:bottom w:val="nil"/>
                <w:right w:val="nil"/>
                <w:between w:val="nil"/>
              </w:pBdr>
              <w:spacing w:line="240" w:lineRule="auto"/>
              <w:ind w:firstLine="34"/>
              <w:jc w:val="right"/>
              <w:rPr>
                <w:rFonts w:eastAsia="Helvetica Neue" w:cs="Arial"/>
                <w:b/>
                <w:color w:val="000000"/>
                <w:sz w:val="18"/>
                <w:szCs w:val="18"/>
              </w:rPr>
            </w:pPr>
            <w:r w:rsidRPr="001E711E">
              <w:rPr>
                <w:rFonts w:eastAsia="Helvetica Neue" w:cs="Arial"/>
                <w:b/>
                <w:color w:val="000000"/>
                <w:sz w:val="18"/>
                <w:szCs w:val="18"/>
              </w:rPr>
              <w:t>C750:</w:t>
            </w:r>
          </w:p>
        </w:tc>
        <w:tc>
          <w:tcPr>
            <w:tcW w:w="592" w:type="pct"/>
            <w:tcBorders>
              <w:right w:val="nil"/>
            </w:tcBorders>
            <w:shd w:val="clear" w:color="auto" w:fill="auto"/>
            <w:vAlign w:val="center"/>
          </w:tcPr>
          <w:p w14:paraId="3208E50F" w14:textId="7593836C" w:rsidR="005173B1" w:rsidRPr="00D871E1" w:rsidRDefault="005173B1" w:rsidP="000375B8">
            <w:pPr>
              <w:pBdr>
                <w:top w:val="nil"/>
                <w:left w:val="nil"/>
                <w:bottom w:val="nil"/>
                <w:right w:val="nil"/>
                <w:between w:val="nil"/>
              </w:pBdr>
              <w:spacing w:line="240" w:lineRule="auto"/>
              <w:ind w:firstLine="34"/>
              <w:jc w:val="left"/>
              <w:rPr>
                <w:rFonts w:eastAsia="Helvetica Neue" w:cs="Arial"/>
                <w:color w:val="000000"/>
                <w:sz w:val="18"/>
                <w:szCs w:val="18"/>
              </w:rPr>
            </w:pPr>
            <w:r w:rsidRPr="00D871E1">
              <w:rPr>
                <w:rFonts w:eastAsia="Helvetica Neue" w:cs="Arial"/>
                <w:color w:val="000000"/>
                <w:sz w:val="18"/>
                <w:szCs w:val="18"/>
              </w:rPr>
              <w:t>1 m</w:t>
            </w:r>
            <w:r w:rsidRPr="00D871E1">
              <w:rPr>
                <w:rFonts w:eastAsia="Helvetica Neue" w:cs="Arial"/>
                <w:color w:val="000000"/>
                <w:sz w:val="18"/>
                <w:szCs w:val="18"/>
                <w:vertAlign w:val="superscript"/>
              </w:rPr>
              <w:t>2</w:t>
            </w:r>
            <w:r w:rsidRPr="00D871E1">
              <w:rPr>
                <w:rFonts w:eastAsia="Helvetica Neue" w:cs="Arial"/>
                <w:color w:val="000000"/>
                <w:sz w:val="18"/>
                <w:szCs w:val="18"/>
              </w:rPr>
              <w:t>/g</w:t>
            </w:r>
          </w:p>
        </w:tc>
        <w:tc>
          <w:tcPr>
            <w:tcW w:w="596" w:type="pct"/>
            <w:tcBorders>
              <w:left w:val="nil"/>
            </w:tcBorders>
            <w:vAlign w:val="center"/>
          </w:tcPr>
          <w:p w14:paraId="247DC031" w14:textId="0B38B59E" w:rsidR="005173B1" w:rsidRPr="00D871E1" w:rsidRDefault="005173B1" w:rsidP="00FD201A">
            <w:pPr>
              <w:pBdr>
                <w:top w:val="nil"/>
                <w:left w:val="nil"/>
                <w:bottom w:val="nil"/>
                <w:right w:val="nil"/>
                <w:between w:val="nil"/>
              </w:pBdr>
              <w:spacing w:line="240" w:lineRule="auto"/>
              <w:ind w:firstLine="34"/>
              <w:jc w:val="right"/>
              <w:rPr>
                <w:rFonts w:eastAsia="Helvetica Neue" w:cs="Arial"/>
                <w:color w:val="000000"/>
                <w:sz w:val="18"/>
                <w:szCs w:val="18"/>
              </w:rPr>
            </w:pPr>
            <w:r w:rsidRPr="00D871E1">
              <w:rPr>
                <w:rFonts w:eastAsia="Helvetica Neue" w:cs="Arial"/>
                <w:color w:val="000000"/>
                <w:sz w:val="18"/>
                <w:szCs w:val="18"/>
              </w:rPr>
              <w:t>S</w:t>
            </w:r>
            <w:r w:rsidR="007D4346">
              <w:rPr>
                <w:rFonts w:eastAsia="Helvetica Neue" w:cs="Arial"/>
                <w:color w:val="000000"/>
                <w:sz w:val="18"/>
                <w:szCs w:val="18"/>
              </w:rPr>
              <w:t>P</w:t>
            </w:r>
            <w:r w:rsidRPr="00D871E1">
              <w:rPr>
                <w:rFonts w:eastAsia="Helvetica Neue" w:cs="Arial"/>
                <w:color w:val="000000"/>
                <w:sz w:val="18"/>
                <w:szCs w:val="18"/>
              </w:rPr>
              <w:t>750:</w:t>
            </w:r>
          </w:p>
        </w:tc>
        <w:tc>
          <w:tcPr>
            <w:tcW w:w="589" w:type="pct"/>
            <w:vAlign w:val="center"/>
          </w:tcPr>
          <w:p w14:paraId="1A4847D1" w14:textId="1DBFBFBF" w:rsidR="005173B1" w:rsidRPr="00D871E1" w:rsidRDefault="005173B1" w:rsidP="000375B8">
            <w:pPr>
              <w:pBdr>
                <w:top w:val="nil"/>
                <w:left w:val="nil"/>
                <w:bottom w:val="nil"/>
                <w:right w:val="nil"/>
                <w:between w:val="nil"/>
              </w:pBdr>
              <w:spacing w:line="240" w:lineRule="auto"/>
              <w:ind w:firstLine="34"/>
              <w:jc w:val="left"/>
              <w:rPr>
                <w:rFonts w:eastAsia="Helvetica Neue" w:cs="Arial"/>
                <w:color w:val="000000"/>
                <w:sz w:val="18"/>
                <w:szCs w:val="18"/>
              </w:rPr>
            </w:pPr>
            <w:r w:rsidRPr="00D871E1">
              <w:rPr>
                <w:rFonts w:eastAsia="Helvetica Neue" w:cs="Arial"/>
                <w:color w:val="000000"/>
                <w:sz w:val="18"/>
                <w:szCs w:val="18"/>
              </w:rPr>
              <w:t>1 m</w:t>
            </w:r>
            <w:r w:rsidRPr="00D871E1">
              <w:rPr>
                <w:rFonts w:eastAsia="Helvetica Neue" w:cs="Arial"/>
                <w:color w:val="000000"/>
                <w:sz w:val="18"/>
                <w:szCs w:val="18"/>
                <w:vertAlign w:val="superscript"/>
              </w:rPr>
              <w:t>2</w:t>
            </w:r>
            <w:r w:rsidRPr="00D871E1">
              <w:rPr>
                <w:rFonts w:eastAsia="Helvetica Neue" w:cs="Arial"/>
                <w:color w:val="000000"/>
                <w:sz w:val="18"/>
                <w:szCs w:val="18"/>
              </w:rPr>
              <w:t>/g</w:t>
            </w:r>
          </w:p>
        </w:tc>
      </w:tr>
    </w:tbl>
    <w:p w14:paraId="6EE076B5" w14:textId="6AE87968" w:rsidR="0047067C" w:rsidRPr="00FB6A81" w:rsidRDefault="004A4B52" w:rsidP="00071B35">
      <w:pPr>
        <w:pStyle w:val="Paragrafosecondario"/>
      </w:pPr>
      <w:r>
        <w:t xml:space="preserve">3.2. </w:t>
      </w:r>
      <w:r w:rsidR="00B24434">
        <w:t>CO</w:t>
      </w:r>
      <w:r w:rsidR="00B24434" w:rsidRPr="00B24434">
        <w:rPr>
          <w:vertAlign w:val="subscript"/>
        </w:rPr>
        <w:t>2</w:t>
      </w:r>
      <w:r w:rsidR="00B24434">
        <w:t xml:space="preserve"> </w:t>
      </w:r>
      <w:r w:rsidR="00182565">
        <w:t>uptake properties</w:t>
      </w:r>
    </w:p>
    <w:p w14:paraId="15687C1B" w14:textId="65E21887" w:rsidR="00520F6D" w:rsidRDefault="00FD6014" w:rsidP="00520F6D">
      <w:pPr>
        <w:rPr>
          <w:sz w:val="18"/>
          <w:szCs w:val="16"/>
          <w:lang w:val="en-US"/>
        </w:rPr>
      </w:pPr>
      <w:r>
        <w:rPr>
          <w:lang w:val="en-US"/>
        </w:rPr>
        <w:t xml:space="preserve">The </w:t>
      </w:r>
      <w:r w:rsidR="004C74AB" w:rsidRPr="004C74AB">
        <w:rPr>
          <w:lang w:val="en-US"/>
        </w:rPr>
        <w:t>CO</w:t>
      </w:r>
      <w:r w:rsidR="004C74AB" w:rsidRPr="004C74AB">
        <w:rPr>
          <w:vertAlign w:val="subscript"/>
          <w:lang w:val="en-US"/>
        </w:rPr>
        <w:t>2</w:t>
      </w:r>
      <w:r w:rsidR="004C74AB" w:rsidRPr="004C74AB">
        <w:rPr>
          <w:lang w:val="en-US"/>
        </w:rPr>
        <w:t xml:space="preserve"> adsorption performance of the </w:t>
      </w:r>
      <w:r w:rsidR="004C74AB">
        <w:rPr>
          <w:lang w:val="en-US"/>
        </w:rPr>
        <w:t xml:space="preserve">char samples </w:t>
      </w:r>
      <w:r w:rsidR="004C74AB" w:rsidRPr="004C74AB">
        <w:rPr>
          <w:lang w:val="en-US"/>
        </w:rPr>
        <w:t xml:space="preserve">was </w:t>
      </w:r>
      <w:r w:rsidR="004C74AB">
        <w:rPr>
          <w:lang w:val="en-US"/>
        </w:rPr>
        <w:t>examined using thermogravimetr</w:t>
      </w:r>
      <w:r w:rsidR="00A24977">
        <w:rPr>
          <w:lang w:val="en-US"/>
        </w:rPr>
        <w:t>i</w:t>
      </w:r>
      <w:r w:rsidR="004C74AB">
        <w:rPr>
          <w:lang w:val="en-US"/>
        </w:rPr>
        <w:t>c methods</w:t>
      </w:r>
      <w:r w:rsidR="004C74AB" w:rsidRPr="004C74AB">
        <w:rPr>
          <w:lang w:val="en-US"/>
        </w:rPr>
        <w:t>.</w:t>
      </w:r>
      <w:r w:rsidR="00520F6D" w:rsidRPr="00520F6D">
        <w:t xml:space="preserve"> </w:t>
      </w:r>
      <w:r w:rsidR="00520F6D" w:rsidRPr="00520F6D">
        <w:rPr>
          <w:lang w:val="en-US"/>
        </w:rPr>
        <w:t>The adsorption capacities for the sorbent materials can be explained using the adsorption isotherm p</w:t>
      </w:r>
      <w:r w:rsidR="00520F6D" w:rsidRPr="00520F6D">
        <w:rPr>
          <w:szCs w:val="21"/>
          <w:lang w:val="en-US"/>
        </w:rPr>
        <w:t>lots: the more the adsorbed volume, the higher will be the adsorption capacity.</w:t>
      </w:r>
    </w:p>
    <w:p w14:paraId="159CF316" w14:textId="607AA4FF" w:rsidR="00057509" w:rsidRDefault="004C74AB" w:rsidP="00E541A8">
      <w:pPr>
        <w:rPr>
          <w:lang w:val="en-US"/>
        </w:rPr>
      </w:pPr>
      <w:r w:rsidRPr="004C74AB">
        <w:rPr>
          <w:lang w:val="en-US"/>
        </w:rPr>
        <w:t xml:space="preserve"> </w:t>
      </w:r>
      <w:r w:rsidR="00D871E1">
        <w:rPr>
          <w:lang w:val="en-US"/>
        </w:rPr>
        <w:t>Figure 3 shows the experimental data of CO</w:t>
      </w:r>
      <w:r w:rsidR="00D871E1" w:rsidRPr="00D871E1">
        <w:rPr>
          <w:vertAlign w:val="subscript"/>
          <w:lang w:val="en-US"/>
        </w:rPr>
        <w:t>2</w:t>
      </w:r>
      <w:r w:rsidR="00D871E1">
        <w:rPr>
          <w:lang w:val="en-US"/>
        </w:rPr>
        <w:t xml:space="preserve"> adsorption </w:t>
      </w:r>
      <w:r w:rsidR="00404198">
        <w:rPr>
          <w:lang w:val="en-US"/>
        </w:rPr>
        <w:t xml:space="preserve">isotherms </w:t>
      </w:r>
      <w:r w:rsidR="00D871E1">
        <w:rPr>
          <w:lang w:val="en-US"/>
        </w:rPr>
        <w:t>at 25 ºC</w:t>
      </w:r>
      <w:r w:rsidR="00404198">
        <w:rPr>
          <w:lang w:val="en-US"/>
        </w:rPr>
        <w:t xml:space="preserve">. </w:t>
      </w:r>
    </w:p>
    <w:p w14:paraId="75CEAB3A" w14:textId="56FADC0E" w:rsidR="00057509" w:rsidRDefault="000375B8" w:rsidP="00B1561E">
      <w:pPr>
        <w:ind w:firstLine="0"/>
        <w:jc w:val="center"/>
        <w:rPr>
          <w:lang w:val="en-US"/>
        </w:rPr>
      </w:pPr>
      <w:r>
        <w:rPr>
          <w:noProof/>
          <w:lang w:val="es-ES" w:eastAsia="es-ES"/>
        </w:rPr>
        <w:drawing>
          <wp:inline distT="0" distB="0" distL="0" distR="0" wp14:anchorId="3D6F9B4D" wp14:editId="6C9E41D7">
            <wp:extent cx="2667000" cy="2447925"/>
            <wp:effectExtent l="0" t="0" r="0" b="0"/>
            <wp:docPr id="22" name="Gráfico 22">
              <a:extLst xmlns:a="http://schemas.openxmlformats.org/drawingml/2006/main">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Pr="00D871E1">
        <w:rPr>
          <w:noProof/>
          <w:lang w:val="en-US" w:eastAsia="es-ES"/>
        </w:rPr>
        <w:t xml:space="preserve"> </w:t>
      </w:r>
      <w:r w:rsidR="007C1BCC">
        <w:rPr>
          <w:noProof/>
          <w:lang w:val="es-ES" w:eastAsia="es-ES"/>
        </w:rPr>
        <w:drawing>
          <wp:inline distT="0" distB="0" distL="0" distR="0" wp14:anchorId="43010375" wp14:editId="3134A4D4">
            <wp:extent cx="2686049" cy="2463800"/>
            <wp:effectExtent l="0" t="0" r="635" b="0"/>
            <wp:docPr id="19" name="Gráfico 1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865D57E-5C51-4452-837E-89DCAF6B36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0D93529" w14:textId="724C2C40" w:rsidR="00057509" w:rsidRPr="004C74AB" w:rsidRDefault="00B1561E" w:rsidP="00B1561E">
      <w:pPr>
        <w:ind w:firstLine="0"/>
        <w:jc w:val="center"/>
        <w:rPr>
          <w:lang w:val="en-US"/>
        </w:rPr>
      </w:pPr>
      <w:r>
        <w:rPr>
          <w:noProof/>
          <w:lang w:val="es-ES" w:eastAsia="es-ES"/>
        </w:rPr>
        <w:drawing>
          <wp:inline distT="0" distB="0" distL="0" distR="0" wp14:anchorId="7E379867" wp14:editId="35DEB5B5">
            <wp:extent cx="2667000" cy="2473325"/>
            <wp:effectExtent l="0" t="0" r="0" b="3175"/>
            <wp:docPr id="16" name="Gráfico 1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6D5EF264-F7C1-4D02-82CC-67EDD69ABD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00404198" w:rsidRPr="00D77045">
        <w:rPr>
          <w:noProof/>
          <w:lang w:val="en-US" w:eastAsia="es-ES"/>
        </w:rPr>
        <w:t xml:space="preserve"> </w:t>
      </w:r>
      <w:r w:rsidR="00404198">
        <w:rPr>
          <w:noProof/>
          <w:lang w:val="es-ES" w:eastAsia="es-ES"/>
        </w:rPr>
        <w:drawing>
          <wp:inline distT="0" distB="0" distL="0" distR="0" wp14:anchorId="3D6AE18A" wp14:editId="485B5156">
            <wp:extent cx="2667000" cy="2438400"/>
            <wp:effectExtent l="0" t="0" r="0" b="0"/>
            <wp:docPr id="23" name="Gráfico 23">
              <a:extLst xmlns:a="http://schemas.openxmlformats.org/drawingml/2006/main">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BF1096AE-D380-47DD-BB9B-09CE6816D2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97B2CE1" w14:textId="19A019E8" w:rsidR="00B1561E" w:rsidRDefault="007C1BCC" w:rsidP="005D1A18">
      <w:pPr>
        <w:ind w:firstLine="0"/>
        <w:rPr>
          <w:sz w:val="18"/>
          <w:szCs w:val="16"/>
          <w:lang w:val="en-US"/>
        </w:rPr>
      </w:pPr>
      <w:proofErr w:type="gramStart"/>
      <w:r w:rsidRPr="007C1BCC">
        <w:rPr>
          <w:sz w:val="18"/>
          <w:szCs w:val="16"/>
          <w:lang w:val="en-US"/>
        </w:rPr>
        <w:t xml:space="preserve">Figure </w:t>
      </w:r>
      <w:r w:rsidR="00D871E1">
        <w:rPr>
          <w:sz w:val="18"/>
          <w:szCs w:val="16"/>
          <w:lang w:val="en-US"/>
        </w:rPr>
        <w:t>3</w:t>
      </w:r>
      <w:r w:rsidRPr="007C1BCC">
        <w:rPr>
          <w:sz w:val="18"/>
          <w:szCs w:val="16"/>
          <w:lang w:val="en-US"/>
        </w:rPr>
        <w:t>.</w:t>
      </w:r>
      <w:proofErr w:type="gramEnd"/>
      <w:r w:rsidRPr="007C1BCC">
        <w:rPr>
          <w:sz w:val="18"/>
          <w:szCs w:val="16"/>
          <w:lang w:val="en-US"/>
        </w:rPr>
        <w:t xml:space="preserve"> Experimental CO</w:t>
      </w:r>
      <w:r w:rsidRPr="007C1BCC">
        <w:rPr>
          <w:sz w:val="18"/>
          <w:szCs w:val="16"/>
          <w:vertAlign w:val="subscript"/>
          <w:lang w:val="en-US"/>
        </w:rPr>
        <w:t>2</w:t>
      </w:r>
      <w:r w:rsidR="007D4346">
        <w:rPr>
          <w:sz w:val="18"/>
          <w:szCs w:val="16"/>
          <w:lang w:val="en-US"/>
        </w:rPr>
        <w:t xml:space="preserve"> </w:t>
      </w:r>
      <w:r w:rsidRPr="007C1BCC">
        <w:rPr>
          <w:sz w:val="18"/>
          <w:szCs w:val="16"/>
          <w:lang w:val="en-US"/>
        </w:rPr>
        <w:t xml:space="preserve">adsorption </w:t>
      </w:r>
      <w:r w:rsidR="00D871E1" w:rsidRPr="007C1BCC">
        <w:rPr>
          <w:sz w:val="18"/>
          <w:szCs w:val="16"/>
          <w:lang w:val="en-US"/>
        </w:rPr>
        <w:t>isotherms</w:t>
      </w:r>
      <w:r w:rsidR="00D871E1">
        <w:rPr>
          <w:sz w:val="18"/>
          <w:szCs w:val="16"/>
          <w:lang w:val="en-US"/>
        </w:rPr>
        <w:t xml:space="preserve"> </w:t>
      </w:r>
      <w:r>
        <w:rPr>
          <w:sz w:val="18"/>
          <w:szCs w:val="16"/>
          <w:lang w:val="en-US"/>
        </w:rPr>
        <w:t xml:space="preserve">(filled symbols) </w:t>
      </w:r>
      <w:r w:rsidR="00404198">
        <w:rPr>
          <w:sz w:val="18"/>
          <w:szCs w:val="16"/>
          <w:lang w:val="en-US"/>
        </w:rPr>
        <w:t xml:space="preserve">measured at 25 ºC in the TGA apparatus </w:t>
      </w:r>
      <w:r>
        <w:rPr>
          <w:sz w:val="18"/>
          <w:szCs w:val="16"/>
          <w:lang w:val="en-US"/>
        </w:rPr>
        <w:t xml:space="preserve">and Langmuir (continuous lines) and </w:t>
      </w:r>
      <w:proofErr w:type="spellStart"/>
      <w:r>
        <w:rPr>
          <w:sz w:val="18"/>
          <w:szCs w:val="16"/>
          <w:lang w:val="en-US"/>
        </w:rPr>
        <w:t>Freundlich</w:t>
      </w:r>
      <w:proofErr w:type="spellEnd"/>
      <w:r>
        <w:rPr>
          <w:sz w:val="18"/>
          <w:szCs w:val="16"/>
          <w:lang w:val="en-US"/>
        </w:rPr>
        <w:t xml:space="preserve"> fits (dot lines)</w:t>
      </w:r>
      <w:r w:rsidR="00FC4BA6">
        <w:rPr>
          <w:sz w:val="18"/>
          <w:szCs w:val="16"/>
          <w:lang w:val="en-US"/>
        </w:rPr>
        <w:t>.</w:t>
      </w:r>
    </w:p>
    <w:p w14:paraId="6200D7DD" w14:textId="77777777" w:rsidR="00E46261" w:rsidRDefault="00E46261" w:rsidP="005D1A18">
      <w:pPr>
        <w:ind w:firstLine="0"/>
        <w:rPr>
          <w:sz w:val="18"/>
          <w:szCs w:val="16"/>
          <w:lang w:val="en-US"/>
        </w:rPr>
      </w:pPr>
    </w:p>
    <w:p w14:paraId="5D882459" w14:textId="67FC7499" w:rsidR="00404198" w:rsidRDefault="000211DB" w:rsidP="000211DB">
      <w:pPr>
        <w:rPr>
          <w:sz w:val="18"/>
          <w:szCs w:val="16"/>
          <w:lang w:val="en-US"/>
        </w:rPr>
      </w:pPr>
      <w:r w:rsidRPr="00203E97">
        <w:rPr>
          <w:lang w:val="en-US"/>
        </w:rPr>
        <w:t xml:space="preserve">Two </w:t>
      </w:r>
      <w:r>
        <w:rPr>
          <w:lang w:val="en-US"/>
        </w:rPr>
        <w:t>well-known</w:t>
      </w:r>
      <w:r w:rsidRPr="00203E97">
        <w:rPr>
          <w:lang w:val="en-US"/>
        </w:rPr>
        <w:t xml:space="preserve"> isotherm models, the Langmuir and</w:t>
      </w:r>
      <w:r>
        <w:rPr>
          <w:lang w:val="en-US"/>
        </w:rPr>
        <w:t xml:space="preserve"> </w:t>
      </w:r>
      <w:r w:rsidR="00C137C4">
        <w:rPr>
          <w:lang w:val="en-US"/>
        </w:rPr>
        <w:t xml:space="preserve">the </w:t>
      </w:r>
      <w:proofErr w:type="spellStart"/>
      <w:r w:rsidRPr="00203E97">
        <w:rPr>
          <w:lang w:val="en-US"/>
        </w:rPr>
        <w:t>Freundlich</w:t>
      </w:r>
      <w:proofErr w:type="spellEnd"/>
      <w:r w:rsidRPr="00203E97">
        <w:rPr>
          <w:lang w:val="en-US"/>
        </w:rPr>
        <w:t xml:space="preserve"> </w:t>
      </w:r>
      <w:r>
        <w:rPr>
          <w:lang w:val="en-US"/>
        </w:rPr>
        <w:t>adsorption isotherms,</w:t>
      </w:r>
      <w:r w:rsidRPr="00203E97">
        <w:rPr>
          <w:lang w:val="en-US"/>
        </w:rPr>
        <w:t xml:space="preserve"> were </w:t>
      </w:r>
      <w:r>
        <w:rPr>
          <w:lang w:val="en-US"/>
        </w:rPr>
        <w:t>used</w:t>
      </w:r>
      <w:r w:rsidRPr="00203E97">
        <w:rPr>
          <w:lang w:val="en-US"/>
        </w:rPr>
        <w:t xml:space="preserve"> to analyze the experimental data for the adsorption of </w:t>
      </w:r>
      <w:r>
        <w:rPr>
          <w:lang w:val="en-US"/>
        </w:rPr>
        <w:t>CO</w:t>
      </w:r>
      <w:r w:rsidRPr="00C47105">
        <w:rPr>
          <w:vertAlign w:val="subscript"/>
          <w:lang w:val="en-US"/>
        </w:rPr>
        <w:t>2</w:t>
      </w:r>
      <w:r w:rsidRPr="00203E97">
        <w:rPr>
          <w:lang w:val="en-US"/>
        </w:rPr>
        <w:t xml:space="preserve"> on the</w:t>
      </w:r>
      <w:r>
        <w:rPr>
          <w:lang w:val="en-US"/>
        </w:rPr>
        <w:t xml:space="preserve"> chars. Mathematically, a</w:t>
      </w:r>
      <w:r w:rsidRPr="00E71F76">
        <w:rPr>
          <w:lang w:val="en-US"/>
        </w:rPr>
        <w:t xml:space="preserve">ll profiles are </w:t>
      </w:r>
      <w:r>
        <w:rPr>
          <w:lang w:val="en-US"/>
        </w:rPr>
        <w:t>reasonably</w:t>
      </w:r>
      <w:r w:rsidRPr="00E71F76">
        <w:rPr>
          <w:lang w:val="en-US"/>
        </w:rPr>
        <w:t xml:space="preserve"> well represented by </w:t>
      </w:r>
      <w:r>
        <w:rPr>
          <w:lang w:val="en-US"/>
        </w:rPr>
        <w:t xml:space="preserve">either </w:t>
      </w:r>
      <w:r w:rsidRPr="00E71F76">
        <w:rPr>
          <w:lang w:val="en-US"/>
        </w:rPr>
        <w:t xml:space="preserve">Langmuir </w:t>
      </w:r>
      <w:r>
        <w:rPr>
          <w:lang w:val="en-US"/>
        </w:rPr>
        <w:t xml:space="preserve">or </w:t>
      </w:r>
      <w:proofErr w:type="spellStart"/>
      <w:r>
        <w:rPr>
          <w:lang w:val="en-US"/>
        </w:rPr>
        <w:t>Freundlich</w:t>
      </w:r>
      <w:proofErr w:type="spellEnd"/>
      <w:r>
        <w:rPr>
          <w:lang w:val="en-US"/>
        </w:rPr>
        <w:t xml:space="preserve"> models in the P/P</w:t>
      </w:r>
      <w:r w:rsidRPr="00DF30C2">
        <w:rPr>
          <w:vertAlign w:val="subscript"/>
          <w:lang w:val="en-US"/>
        </w:rPr>
        <w:t>o</w:t>
      </w:r>
      <w:r>
        <w:rPr>
          <w:lang w:val="en-US"/>
        </w:rPr>
        <w:t xml:space="preserve"> range studied </w:t>
      </w:r>
      <w:r>
        <w:rPr>
          <w:lang w:val="en-US"/>
        </w:rPr>
        <w:lastRenderedPageBreak/>
        <w:t>(coefficient of determination of multiple regression: 0.961 &lt; R</w:t>
      </w:r>
      <w:r w:rsidRPr="00F52F4E">
        <w:rPr>
          <w:vertAlign w:val="superscript"/>
          <w:lang w:val="en-US"/>
        </w:rPr>
        <w:t>2</w:t>
      </w:r>
      <w:r>
        <w:rPr>
          <w:lang w:val="en-US"/>
        </w:rPr>
        <w:t xml:space="preserve"> &lt; 0.995),</w:t>
      </w:r>
      <w:r w:rsidRPr="00E71F76">
        <w:rPr>
          <w:lang w:val="en-US"/>
        </w:rPr>
        <w:t xml:space="preserve"> </w:t>
      </w:r>
      <w:r>
        <w:rPr>
          <w:lang w:val="en-US"/>
        </w:rPr>
        <w:t>so this mathematical analysis</w:t>
      </w:r>
      <w:r w:rsidR="00C137C4">
        <w:rPr>
          <w:lang w:val="en-US"/>
        </w:rPr>
        <w:t xml:space="preserve"> </w:t>
      </w:r>
      <w:r>
        <w:rPr>
          <w:lang w:val="en-US"/>
        </w:rPr>
        <w:t xml:space="preserve"> is not sufficient information to conclude if CO</w:t>
      </w:r>
      <w:r w:rsidRPr="00520F6D">
        <w:rPr>
          <w:vertAlign w:val="subscript"/>
          <w:lang w:val="en-US"/>
        </w:rPr>
        <w:t>2</w:t>
      </w:r>
      <w:r>
        <w:rPr>
          <w:lang w:val="en-US"/>
        </w:rPr>
        <w:t xml:space="preserve"> adsorption occurs on a monolayer homogeneous surface (as </w:t>
      </w:r>
      <w:r w:rsidR="00FD6014">
        <w:rPr>
          <w:lang w:val="en-US"/>
        </w:rPr>
        <w:t xml:space="preserve">the </w:t>
      </w:r>
      <w:r>
        <w:rPr>
          <w:lang w:val="en-US"/>
        </w:rPr>
        <w:t xml:space="preserve">Langmuir model </w:t>
      </w:r>
      <w:r w:rsidR="00FD6014">
        <w:rPr>
          <w:lang w:val="en-US"/>
        </w:rPr>
        <w:t>assumes</w:t>
      </w:r>
      <w:r>
        <w:rPr>
          <w:lang w:val="en-US"/>
        </w:rPr>
        <w:t xml:space="preserve">) or on a </w:t>
      </w:r>
      <w:r w:rsidRPr="00523F87">
        <w:rPr>
          <w:lang w:val="en-US"/>
        </w:rPr>
        <w:t xml:space="preserve">multilayered heterogeneous </w:t>
      </w:r>
      <w:r>
        <w:rPr>
          <w:lang w:val="en-US"/>
        </w:rPr>
        <w:t xml:space="preserve">surface (as </w:t>
      </w:r>
      <w:r w:rsidR="00FD6014">
        <w:rPr>
          <w:lang w:val="en-US"/>
        </w:rPr>
        <w:t xml:space="preserve">the </w:t>
      </w:r>
      <w:proofErr w:type="spellStart"/>
      <w:r>
        <w:rPr>
          <w:lang w:val="en-US"/>
        </w:rPr>
        <w:t>Freundlich</w:t>
      </w:r>
      <w:proofErr w:type="spellEnd"/>
      <w:r>
        <w:rPr>
          <w:lang w:val="en-US"/>
        </w:rPr>
        <w:t xml:space="preserve"> model refers to).</w:t>
      </w:r>
      <w:r w:rsidR="00FD6014" w:rsidRPr="00682DFA">
        <w:rPr>
          <w:lang w:val="en-US"/>
        </w:rPr>
        <w:t xml:space="preserve"> </w:t>
      </w:r>
      <w:r w:rsidR="00FD6014">
        <w:rPr>
          <w:lang w:val="en-US"/>
        </w:rPr>
        <w:t>Both analyses assume the relevance of the surface area concept to explain CO</w:t>
      </w:r>
      <w:r w:rsidR="00FD6014" w:rsidRPr="00C57399">
        <w:rPr>
          <w:vertAlign w:val="subscript"/>
          <w:lang w:val="en-US"/>
        </w:rPr>
        <w:t>2</w:t>
      </w:r>
      <w:r w:rsidR="00FD6014">
        <w:rPr>
          <w:lang w:val="en-US"/>
        </w:rPr>
        <w:t xml:space="preserve"> adsorption on chars and the reasonably good fits do not contradict this assumption. </w:t>
      </w:r>
    </w:p>
    <w:p w14:paraId="44ACBEFF" w14:textId="25626CD4" w:rsidR="006D6E94" w:rsidRDefault="00171D25" w:rsidP="001005A8">
      <w:pPr>
        <w:rPr>
          <w:szCs w:val="21"/>
          <w:lang w:val="en-US"/>
        </w:rPr>
      </w:pPr>
      <w:r>
        <w:rPr>
          <w:szCs w:val="21"/>
          <w:lang w:val="en-US"/>
        </w:rPr>
        <w:t>CO</w:t>
      </w:r>
      <w:r w:rsidRPr="00171D25">
        <w:rPr>
          <w:szCs w:val="21"/>
          <w:vertAlign w:val="subscript"/>
          <w:lang w:val="en-US"/>
        </w:rPr>
        <w:t>2</w:t>
      </w:r>
      <w:r>
        <w:rPr>
          <w:szCs w:val="21"/>
          <w:lang w:val="en-US"/>
        </w:rPr>
        <w:t xml:space="preserve"> uptake </w:t>
      </w:r>
      <w:r w:rsidR="00FD6014">
        <w:rPr>
          <w:szCs w:val="21"/>
          <w:lang w:val="en-US"/>
        </w:rPr>
        <w:t>data for</w:t>
      </w:r>
      <w:r w:rsidR="00E541A8">
        <w:rPr>
          <w:szCs w:val="21"/>
          <w:lang w:val="en-US"/>
        </w:rPr>
        <w:t xml:space="preserve"> all chars </w:t>
      </w:r>
      <w:r>
        <w:rPr>
          <w:szCs w:val="21"/>
          <w:lang w:val="en-US"/>
        </w:rPr>
        <w:t>(</w:t>
      </w:r>
      <w:r w:rsidR="006D6E94">
        <w:rPr>
          <w:szCs w:val="21"/>
          <w:lang w:val="en-US"/>
        </w:rPr>
        <w:t>at the highest concentration of CO</w:t>
      </w:r>
      <w:r w:rsidR="006D6E94" w:rsidRPr="006D6E94">
        <w:rPr>
          <w:szCs w:val="21"/>
          <w:vertAlign w:val="subscript"/>
          <w:lang w:val="en-US"/>
        </w:rPr>
        <w:t>2</w:t>
      </w:r>
      <w:r w:rsidR="006D6E94">
        <w:rPr>
          <w:szCs w:val="21"/>
          <w:lang w:val="en-US"/>
        </w:rPr>
        <w:t xml:space="preserve">: </w:t>
      </w:r>
      <w:r w:rsidR="00955627">
        <w:rPr>
          <w:szCs w:val="21"/>
          <w:lang w:val="en-US"/>
        </w:rPr>
        <w:t>83 vol. %</w:t>
      </w:r>
      <w:r>
        <w:rPr>
          <w:szCs w:val="21"/>
          <w:lang w:val="en-US"/>
        </w:rPr>
        <w:t>)</w:t>
      </w:r>
      <w:r w:rsidR="00682DFA">
        <w:rPr>
          <w:szCs w:val="21"/>
          <w:lang w:val="en-US"/>
        </w:rPr>
        <w:t xml:space="preserve"> </w:t>
      </w:r>
      <w:r w:rsidR="00E541A8">
        <w:rPr>
          <w:szCs w:val="21"/>
          <w:lang w:val="en-US"/>
        </w:rPr>
        <w:t>are</w:t>
      </w:r>
      <w:r w:rsidR="00682DFA">
        <w:rPr>
          <w:szCs w:val="21"/>
          <w:lang w:val="en-US"/>
        </w:rPr>
        <w:t xml:space="preserve"> summarized in Fig</w:t>
      </w:r>
      <w:r w:rsidR="00E541A8">
        <w:rPr>
          <w:szCs w:val="21"/>
          <w:lang w:val="en-US"/>
        </w:rPr>
        <w:t>ure 4.</w:t>
      </w:r>
      <w:r w:rsidR="00E541A8" w:rsidRPr="00E541A8">
        <w:t xml:space="preserve"> </w:t>
      </w:r>
      <w:r w:rsidR="00E541A8">
        <w:rPr>
          <w:szCs w:val="21"/>
          <w:lang w:val="en-US"/>
        </w:rPr>
        <w:t>Comparing these data</w:t>
      </w:r>
      <w:r w:rsidR="001005A8">
        <w:rPr>
          <w:szCs w:val="21"/>
          <w:lang w:val="en-US"/>
        </w:rPr>
        <w:t>,</w:t>
      </w:r>
      <w:r w:rsidR="00E541A8" w:rsidRPr="00E541A8">
        <w:rPr>
          <w:szCs w:val="21"/>
          <w:lang w:val="en-US"/>
        </w:rPr>
        <w:t xml:space="preserve"> it can</w:t>
      </w:r>
      <w:r w:rsidR="00E541A8">
        <w:rPr>
          <w:szCs w:val="21"/>
          <w:lang w:val="en-US"/>
        </w:rPr>
        <w:t xml:space="preserve"> </w:t>
      </w:r>
      <w:r w:rsidR="00E541A8" w:rsidRPr="00E541A8">
        <w:rPr>
          <w:szCs w:val="21"/>
          <w:lang w:val="en-US"/>
        </w:rPr>
        <w:t xml:space="preserve">be observed that </w:t>
      </w:r>
      <w:r w:rsidR="00E541A8">
        <w:rPr>
          <w:szCs w:val="21"/>
          <w:lang w:val="en-US"/>
        </w:rPr>
        <w:t xml:space="preserve">proteins chars, </w:t>
      </w:r>
      <w:r w:rsidR="001005A8">
        <w:rPr>
          <w:szCs w:val="21"/>
          <w:lang w:val="en-US"/>
        </w:rPr>
        <w:t>especially</w:t>
      </w:r>
      <w:r w:rsidR="00E541A8">
        <w:rPr>
          <w:szCs w:val="21"/>
          <w:lang w:val="en-US"/>
        </w:rPr>
        <w:t xml:space="preserve"> those from </w:t>
      </w:r>
      <w:proofErr w:type="spellStart"/>
      <w:r w:rsidR="00E541A8">
        <w:rPr>
          <w:szCs w:val="21"/>
          <w:lang w:val="en-US"/>
        </w:rPr>
        <w:t>collagene</w:t>
      </w:r>
      <w:proofErr w:type="spellEnd"/>
      <w:r w:rsidR="00E541A8">
        <w:rPr>
          <w:szCs w:val="21"/>
          <w:lang w:val="en-US"/>
        </w:rPr>
        <w:t>, show</w:t>
      </w:r>
      <w:r w:rsidR="00E541A8" w:rsidRPr="00E541A8">
        <w:rPr>
          <w:szCs w:val="21"/>
          <w:lang w:val="en-US"/>
        </w:rPr>
        <w:t xml:space="preserve"> </w:t>
      </w:r>
      <w:r w:rsidR="00E541A8">
        <w:rPr>
          <w:szCs w:val="21"/>
          <w:lang w:val="en-US"/>
        </w:rPr>
        <w:t xml:space="preserve">higher </w:t>
      </w:r>
      <w:r w:rsidR="00E541A8" w:rsidRPr="00E541A8">
        <w:rPr>
          <w:szCs w:val="21"/>
          <w:lang w:val="en-US"/>
        </w:rPr>
        <w:t xml:space="preserve">adsorption capacity than </w:t>
      </w:r>
      <w:r w:rsidR="00E541A8">
        <w:rPr>
          <w:szCs w:val="21"/>
          <w:lang w:val="en-US"/>
        </w:rPr>
        <w:t xml:space="preserve">the waste </w:t>
      </w:r>
      <w:proofErr w:type="spellStart"/>
      <w:r w:rsidR="001005A8">
        <w:rPr>
          <w:szCs w:val="21"/>
          <w:lang w:val="en-US"/>
        </w:rPr>
        <w:t>bio</w:t>
      </w:r>
      <w:r w:rsidR="00E541A8">
        <w:rPr>
          <w:szCs w:val="21"/>
          <w:lang w:val="en-US"/>
        </w:rPr>
        <w:t>chars</w:t>
      </w:r>
      <w:proofErr w:type="spellEnd"/>
      <w:r w:rsidR="00E541A8" w:rsidRPr="00E541A8">
        <w:rPr>
          <w:szCs w:val="21"/>
          <w:lang w:val="en-US"/>
        </w:rPr>
        <w:t xml:space="preserve">. </w:t>
      </w:r>
    </w:p>
    <w:p w14:paraId="35DBF0C5" w14:textId="0D1E6989" w:rsidR="006D6E94" w:rsidRDefault="001005A8" w:rsidP="00922DDA">
      <w:pPr>
        <w:rPr>
          <w:szCs w:val="21"/>
          <w:lang w:val="en-US"/>
        </w:rPr>
      </w:pPr>
      <w:r w:rsidRPr="001005A8">
        <w:rPr>
          <w:szCs w:val="21"/>
          <w:lang w:val="en-US"/>
        </w:rPr>
        <w:t>The</w:t>
      </w:r>
      <w:r>
        <w:rPr>
          <w:szCs w:val="21"/>
          <w:lang w:val="en-US"/>
        </w:rPr>
        <w:t xml:space="preserve"> </w:t>
      </w:r>
      <w:r w:rsidRPr="001005A8">
        <w:rPr>
          <w:szCs w:val="21"/>
          <w:lang w:val="en-US"/>
        </w:rPr>
        <w:t xml:space="preserve">figures also indicate that the </w:t>
      </w:r>
      <w:r>
        <w:rPr>
          <w:szCs w:val="21"/>
          <w:lang w:val="en-US"/>
        </w:rPr>
        <w:t>mass of CO</w:t>
      </w:r>
      <w:r w:rsidRPr="001005A8">
        <w:rPr>
          <w:szCs w:val="21"/>
          <w:vertAlign w:val="subscript"/>
          <w:lang w:val="en-US"/>
        </w:rPr>
        <w:t>2</w:t>
      </w:r>
      <w:r w:rsidRPr="001005A8">
        <w:rPr>
          <w:szCs w:val="21"/>
          <w:lang w:val="en-US"/>
        </w:rPr>
        <w:t xml:space="preserve"> adsorbed is higher for</w:t>
      </w:r>
      <w:r>
        <w:rPr>
          <w:szCs w:val="21"/>
          <w:lang w:val="en-US"/>
        </w:rPr>
        <w:t xml:space="preserve"> </w:t>
      </w:r>
      <w:r w:rsidR="00425CAB">
        <w:rPr>
          <w:szCs w:val="21"/>
          <w:lang w:val="en-US"/>
        </w:rPr>
        <w:t xml:space="preserve">chars </w:t>
      </w:r>
      <w:r>
        <w:rPr>
          <w:szCs w:val="21"/>
          <w:lang w:val="en-US"/>
        </w:rPr>
        <w:t xml:space="preserve">prepared at high temperature, except for MBM chars, whose maximum </w:t>
      </w:r>
      <w:r w:rsidR="00425CAB">
        <w:rPr>
          <w:szCs w:val="21"/>
          <w:lang w:val="en-US"/>
        </w:rPr>
        <w:t xml:space="preserve">in the </w:t>
      </w:r>
      <w:r>
        <w:rPr>
          <w:szCs w:val="21"/>
          <w:lang w:val="en-US"/>
        </w:rPr>
        <w:t>CO</w:t>
      </w:r>
      <w:r w:rsidRPr="001005A8">
        <w:rPr>
          <w:szCs w:val="21"/>
          <w:vertAlign w:val="subscript"/>
          <w:lang w:val="en-US"/>
        </w:rPr>
        <w:t>2</w:t>
      </w:r>
      <w:r>
        <w:rPr>
          <w:szCs w:val="21"/>
          <w:lang w:val="en-US"/>
        </w:rPr>
        <w:t xml:space="preserve"> adsorption capacity </w:t>
      </w:r>
      <w:r w:rsidR="00425CAB">
        <w:rPr>
          <w:szCs w:val="21"/>
          <w:lang w:val="en-US"/>
        </w:rPr>
        <w:t>is</w:t>
      </w:r>
      <w:r>
        <w:rPr>
          <w:szCs w:val="21"/>
          <w:lang w:val="en-US"/>
        </w:rPr>
        <w:t xml:space="preserve"> found at a pyrolysis temperature of 550 ºC. </w:t>
      </w:r>
      <w:r w:rsidR="00425CAB">
        <w:rPr>
          <w:szCs w:val="21"/>
          <w:lang w:val="en-US"/>
        </w:rPr>
        <w:t>It is to note that</w:t>
      </w:r>
      <w:r>
        <w:rPr>
          <w:szCs w:val="21"/>
          <w:lang w:val="en-US"/>
        </w:rPr>
        <w:t xml:space="preserve"> the CO</w:t>
      </w:r>
      <w:r w:rsidRPr="001005A8">
        <w:rPr>
          <w:szCs w:val="21"/>
          <w:vertAlign w:val="subscript"/>
          <w:lang w:val="en-US"/>
        </w:rPr>
        <w:t>2</w:t>
      </w:r>
      <w:r>
        <w:rPr>
          <w:szCs w:val="21"/>
          <w:lang w:val="en-US"/>
        </w:rPr>
        <w:t xml:space="preserve"> adsorption performance of chars </w:t>
      </w:r>
      <w:r w:rsidR="00FD6014">
        <w:rPr>
          <w:szCs w:val="21"/>
          <w:lang w:val="en-US"/>
        </w:rPr>
        <w:t>changes</w:t>
      </w:r>
      <w:r>
        <w:rPr>
          <w:szCs w:val="21"/>
          <w:lang w:val="en-US"/>
        </w:rPr>
        <w:t xml:space="preserve"> much more between </w:t>
      </w:r>
      <w:r w:rsidR="00FD6014">
        <w:rPr>
          <w:szCs w:val="21"/>
          <w:lang w:val="en-US"/>
        </w:rPr>
        <w:t xml:space="preserve">the </w:t>
      </w:r>
      <w:r>
        <w:rPr>
          <w:szCs w:val="21"/>
          <w:lang w:val="en-US"/>
        </w:rPr>
        <w:t xml:space="preserve">pyrolysis temperature of 350 and 550 ºC than between 550 and 750 ºC. </w:t>
      </w:r>
    </w:p>
    <w:p w14:paraId="46C9144C" w14:textId="4345CF6B" w:rsidR="001005A8" w:rsidRDefault="006D6E94" w:rsidP="001005A8">
      <w:pPr>
        <w:rPr>
          <w:szCs w:val="21"/>
          <w:lang w:val="en-US"/>
        </w:rPr>
      </w:pPr>
      <w:r w:rsidRPr="006D6E94">
        <w:rPr>
          <w:szCs w:val="21"/>
          <w:lang w:val="en-US"/>
        </w:rPr>
        <w:t>CO</w:t>
      </w:r>
      <w:r w:rsidRPr="006D6E94">
        <w:rPr>
          <w:szCs w:val="21"/>
          <w:vertAlign w:val="subscript"/>
          <w:lang w:val="en-US"/>
        </w:rPr>
        <w:t>2</w:t>
      </w:r>
      <w:r w:rsidRPr="006D6E94">
        <w:rPr>
          <w:szCs w:val="21"/>
          <w:lang w:val="en-US"/>
        </w:rPr>
        <w:t xml:space="preserve"> adsorption capacit</w:t>
      </w:r>
      <w:r w:rsidR="00425CAB">
        <w:rPr>
          <w:szCs w:val="21"/>
          <w:lang w:val="en-US"/>
        </w:rPr>
        <w:t>ies</w:t>
      </w:r>
      <w:r w:rsidRPr="006D6E94">
        <w:rPr>
          <w:szCs w:val="21"/>
          <w:lang w:val="en-US"/>
        </w:rPr>
        <w:t xml:space="preserve"> of proteins chars prepared at 750 ºC </w:t>
      </w:r>
      <w:r w:rsidR="00FD6014">
        <w:rPr>
          <w:szCs w:val="21"/>
          <w:lang w:val="en-US"/>
        </w:rPr>
        <w:t>are essentially twice than</w:t>
      </w:r>
      <w:r>
        <w:rPr>
          <w:szCs w:val="21"/>
          <w:lang w:val="en-US"/>
        </w:rPr>
        <w:t xml:space="preserve"> those of their related wastes</w:t>
      </w:r>
      <w:r w:rsidR="007458F8">
        <w:rPr>
          <w:szCs w:val="21"/>
          <w:lang w:val="en-US"/>
        </w:rPr>
        <w:t xml:space="preserve"> (40 vs. 20 mg CO</w:t>
      </w:r>
      <w:r w:rsidR="007458F8" w:rsidRPr="007458F8">
        <w:rPr>
          <w:szCs w:val="21"/>
          <w:vertAlign w:val="subscript"/>
          <w:lang w:val="en-US"/>
        </w:rPr>
        <w:t>2</w:t>
      </w:r>
      <w:r w:rsidR="007458F8">
        <w:rPr>
          <w:szCs w:val="21"/>
          <w:lang w:val="en-US"/>
        </w:rPr>
        <w:t>/g char)</w:t>
      </w:r>
      <w:r>
        <w:rPr>
          <w:szCs w:val="21"/>
          <w:lang w:val="en-US"/>
        </w:rPr>
        <w:t>, while t</w:t>
      </w:r>
      <w:r w:rsidRPr="006D6E94">
        <w:rPr>
          <w:szCs w:val="21"/>
          <w:lang w:val="en-US"/>
        </w:rPr>
        <w:t>hese differences are</w:t>
      </w:r>
      <w:r w:rsidR="007458F8">
        <w:rPr>
          <w:szCs w:val="21"/>
          <w:lang w:val="en-US"/>
        </w:rPr>
        <w:t>, in general, less</w:t>
      </w:r>
      <w:r w:rsidRPr="006D6E94">
        <w:rPr>
          <w:szCs w:val="21"/>
          <w:lang w:val="en-US"/>
        </w:rPr>
        <w:t xml:space="preserve"> significant </w:t>
      </w:r>
      <w:r w:rsidR="00922DDA">
        <w:rPr>
          <w:szCs w:val="21"/>
          <w:lang w:val="en-US"/>
        </w:rPr>
        <w:t xml:space="preserve">in the chars prepared </w:t>
      </w:r>
      <w:r w:rsidRPr="006D6E94">
        <w:rPr>
          <w:szCs w:val="21"/>
          <w:lang w:val="en-US"/>
        </w:rPr>
        <w:t>at lower pyrolysis temperatures</w:t>
      </w:r>
      <w:r w:rsidR="00FD6014">
        <w:rPr>
          <w:szCs w:val="21"/>
          <w:lang w:val="en-US"/>
        </w:rPr>
        <w:t xml:space="preserve">. </w:t>
      </w:r>
      <w:r>
        <w:rPr>
          <w:szCs w:val="21"/>
          <w:lang w:val="en-US"/>
        </w:rPr>
        <w:t>This</w:t>
      </w:r>
      <w:r w:rsidRPr="006D6E94">
        <w:rPr>
          <w:szCs w:val="21"/>
          <w:lang w:val="en-US"/>
        </w:rPr>
        <w:t xml:space="preserve"> means that increasing </w:t>
      </w:r>
      <w:r>
        <w:rPr>
          <w:szCs w:val="21"/>
          <w:lang w:val="en-US"/>
        </w:rPr>
        <w:t>the pyrolysis temperature</w:t>
      </w:r>
      <w:r w:rsidRPr="006D6E94">
        <w:rPr>
          <w:szCs w:val="21"/>
          <w:lang w:val="en-US"/>
        </w:rPr>
        <w:t xml:space="preserve"> especially benefits</w:t>
      </w:r>
      <w:r>
        <w:rPr>
          <w:szCs w:val="21"/>
          <w:lang w:val="en-US"/>
        </w:rPr>
        <w:t xml:space="preserve"> the CO</w:t>
      </w:r>
      <w:r w:rsidRPr="006D6E94">
        <w:rPr>
          <w:szCs w:val="21"/>
          <w:vertAlign w:val="subscript"/>
          <w:lang w:val="en-US"/>
        </w:rPr>
        <w:t>2</w:t>
      </w:r>
      <w:r>
        <w:rPr>
          <w:szCs w:val="21"/>
          <w:lang w:val="en-US"/>
        </w:rPr>
        <w:t xml:space="preserve"> uptake properties of the two studied protein</w:t>
      </w:r>
      <w:r w:rsidR="00922DDA">
        <w:rPr>
          <w:szCs w:val="21"/>
          <w:lang w:val="en-US"/>
        </w:rPr>
        <w:t xml:space="preserve"> chars</w:t>
      </w:r>
      <w:r w:rsidR="00425CAB">
        <w:rPr>
          <w:szCs w:val="21"/>
          <w:lang w:val="en-US"/>
        </w:rPr>
        <w:t>, while the impact on the waste chars is smaller.</w:t>
      </w:r>
    </w:p>
    <w:p w14:paraId="2B1C84F9" w14:textId="77777777" w:rsidR="001005A8" w:rsidRPr="00171D25" w:rsidRDefault="001005A8" w:rsidP="006D6E94">
      <w:pPr>
        <w:ind w:firstLine="0"/>
        <w:rPr>
          <w:szCs w:val="21"/>
          <w:lang w:val="en-US"/>
        </w:rPr>
      </w:pPr>
    </w:p>
    <w:p w14:paraId="06B2FC97" w14:textId="06BE79CB" w:rsidR="004A4B52" w:rsidRDefault="00171D25" w:rsidP="006D6E94">
      <w:pPr>
        <w:ind w:firstLine="0"/>
        <w:jc w:val="center"/>
        <w:rPr>
          <w:sz w:val="18"/>
          <w:szCs w:val="16"/>
          <w:lang w:val="en-US"/>
        </w:rPr>
      </w:pPr>
      <w:r>
        <w:rPr>
          <w:noProof/>
          <w:lang w:val="es-ES" w:eastAsia="es-ES"/>
        </w:rPr>
        <w:drawing>
          <wp:inline distT="0" distB="0" distL="0" distR="0" wp14:anchorId="54531D23" wp14:editId="1391B0FE">
            <wp:extent cx="4572000" cy="3086100"/>
            <wp:effectExtent l="0" t="0" r="0" b="0"/>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B90E50E" w14:textId="77777777" w:rsidR="004A4B52" w:rsidRDefault="004A4B52" w:rsidP="004C74AB">
      <w:pPr>
        <w:rPr>
          <w:sz w:val="18"/>
          <w:szCs w:val="16"/>
          <w:lang w:val="en-US"/>
        </w:rPr>
      </w:pPr>
    </w:p>
    <w:p w14:paraId="5B460E00" w14:textId="7EDA7822" w:rsidR="00682DFA" w:rsidRDefault="00682DFA" w:rsidP="00682DFA">
      <w:pPr>
        <w:ind w:firstLine="0"/>
        <w:rPr>
          <w:sz w:val="18"/>
          <w:szCs w:val="16"/>
          <w:lang w:val="en-US"/>
        </w:rPr>
      </w:pPr>
      <w:proofErr w:type="gramStart"/>
      <w:r w:rsidRPr="007C1BCC">
        <w:rPr>
          <w:sz w:val="18"/>
          <w:szCs w:val="16"/>
          <w:lang w:val="en-US"/>
        </w:rPr>
        <w:t xml:space="preserve">Figure </w:t>
      </w:r>
      <w:r>
        <w:rPr>
          <w:sz w:val="18"/>
          <w:szCs w:val="16"/>
          <w:lang w:val="en-US"/>
        </w:rPr>
        <w:t>4</w:t>
      </w:r>
      <w:r w:rsidRPr="007C1BCC">
        <w:rPr>
          <w:sz w:val="18"/>
          <w:szCs w:val="16"/>
          <w:lang w:val="en-US"/>
        </w:rPr>
        <w:t>.</w:t>
      </w:r>
      <w:proofErr w:type="gramEnd"/>
      <w:r w:rsidRPr="007C1BCC">
        <w:rPr>
          <w:sz w:val="18"/>
          <w:szCs w:val="16"/>
          <w:lang w:val="en-US"/>
        </w:rPr>
        <w:t xml:space="preserve"> </w:t>
      </w:r>
      <w:r>
        <w:rPr>
          <w:sz w:val="18"/>
          <w:szCs w:val="16"/>
          <w:lang w:val="en-US"/>
        </w:rPr>
        <w:t>CO</w:t>
      </w:r>
      <w:r w:rsidRPr="00682DFA">
        <w:rPr>
          <w:sz w:val="18"/>
          <w:szCs w:val="16"/>
          <w:vertAlign w:val="subscript"/>
          <w:lang w:val="en-US"/>
        </w:rPr>
        <w:t>2</w:t>
      </w:r>
      <w:r w:rsidR="00E541A8">
        <w:rPr>
          <w:sz w:val="18"/>
          <w:szCs w:val="16"/>
          <w:lang w:val="en-US"/>
        </w:rPr>
        <w:t xml:space="preserve"> uptake </w:t>
      </w:r>
      <w:r w:rsidR="00AC083B">
        <w:rPr>
          <w:sz w:val="18"/>
          <w:szCs w:val="16"/>
          <w:lang w:val="en-US"/>
        </w:rPr>
        <w:t xml:space="preserve">of char samples </w:t>
      </w:r>
      <w:r w:rsidR="00E541A8">
        <w:rPr>
          <w:sz w:val="18"/>
          <w:szCs w:val="16"/>
          <w:lang w:val="en-US"/>
        </w:rPr>
        <w:t>at 25 ºC (gas mixture with 83 % vol. CO</w:t>
      </w:r>
      <w:r w:rsidR="00E541A8" w:rsidRPr="00E541A8">
        <w:rPr>
          <w:sz w:val="18"/>
          <w:szCs w:val="16"/>
          <w:vertAlign w:val="subscript"/>
          <w:lang w:val="en-US"/>
        </w:rPr>
        <w:t>2</w:t>
      </w:r>
      <w:r w:rsidR="00E541A8">
        <w:rPr>
          <w:sz w:val="18"/>
          <w:szCs w:val="16"/>
          <w:lang w:val="en-US"/>
        </w:rPr>
        <w:t>).</w:t>
      </w:r>
    </w:p>
    <w:p w14:paraId="1E15D9C6" w14:textId="77777777" w:rsidR="004245F6" w:rsidRDefault="004245F6" w:rsidP="004245F6">
      <w:pPr>
        <w:ind w:firstLine="0"/>
      </w:pPr>
    </w:p>
    <w:p w14:paraId="20A470A4" w14:textId="774E2530" w:rsidR="00922DDA" w:rsidRDefault="00744C38" w:rsidP="004245F6">
      <w:pPr>
        <w:rPr>
          <w:szCs w:val="21"/>
          <w:lang w:val="en-US"/>
        </w:rPr>
      </w:pPr>
      <w:r>
        <w:rPr>
          <w:szCs w:val="21"/>
        </w:rPr>
        <w:t xml:space="preserve">In order to explain the differences </w:t>
      </w:r>
      <w:r w:rsidR="00B57255">
        <w:rPr>
          <w:szCs w:val="21"/>
        </w:rPr>
        <w:t>i</w:t>
      </w:r>
      <w:r>
        <w:rPr>
          <w:szCs w:val="21"/>
        </w:rPr>
        <w:t xml:space="preserve">n the </w:t>
      </w:r>
      <w:r>
        <w:rPr>
          <w:szCs w:val="21"/>
          <w:lang w:val="en-US"/>
        </w:rPr>
        <w:t>CO</w:t>
      </w:r>
      <w:r w:rsidRPr="00425CAB">
        <w:rPr>
          <w:szCs w:val="21"/>
          <w:vertAlign w:val="subscript"/>
          <w:lang w:val="en-US"/>
        </w:rPr>
        <w:t>2</w:t>
      </w:r>
      <w:r>
        <w:rPr>
          <w:szCs w:val="21"/>
          <w:lang w:val="en-US"/>
        </w:rPr>
        <w:t xml:space="preserve"> adsorption capacit</w:t>
      </w:r>
      <w:r w:rsidR="00B57255">
        <w:rPr>
          <w:szCs w:val="21"/>
          <w:lang w:val="en-US"/>
        </w:rPr>
        <w:t>ies</w:t>
      </w:r>
      <w:r>
        <w:rPr>
          <w:szCs w:val="21"/>
          <w:lang w:val="en-US"/>
        </w:rPr>
        <w:t xml:space="preserve"> of </w:t>
      </w:r>
      <w:r w:rsidR="00B57255">
        <w:rPr>
          <w:szCs w:val="21"/>
          <w:lang w:val="en-US"/>
        </w:rPr>
        <w:t xml:space="preserve">the </w:t>
      </w:r>
      <w:r>
        <w:rPr>
          <w:szCs w:val="21"/>
          <w:lang w:val="en-US"/>
        </w:rPr>
        <w:t xml:space="preserve">chars, both the surface basicity and porous texture should be considered. </w:t>
      </w:r>
      <w:r w:rsidR="004245F6">
        <w:rPr>
          <w:szCs w:val="21"/>
          <w:lang w:val="en-US"/>
        </w:rPr>
        <w:t>The increase of pyrolysis temperature le</w:t>
      </w:r>
      <w:r>
        <w:rPr>
          <w:szCs w:val="21"/>
          <w:lang w:val="en-US"/>
        </w:rPr>
        <w:t>ads</w:t>
      </w:r>
      <w:r w:rsidR="004245F6">
        <w:rPr>
          <w:szCs w:val="21"/>
          <w:lang w:val="en-US"/>
        </w:rPr>
        <w:t xml:space="preserve"> to a reduction of N content in the chars (Table 1), thus reducing the contribution of </w:t>
      </w:r>
      <w:r w:rsidR="004245F6">
        <w:t>nitrogen-containing functional groups</w:t>
      </w:r>
      <w:r w:rsidR="004245F6">
        <w:rPr>
          <w:szCs w:val="21"/>
          <w:lang w:val="en-US"/>
        </w:rPr>
        <w:t xml:space="preserve"> to surface basicity. Therefore, the positive effect of pyrolysis temperature on the CO</w:t>
      </w:r>
      <w:r w:rsidR="004245F6" w:rsidRPr="00425CAB">
        <w:rPr>
          <w:szCs w:val="21"/>
          <w:vertAlign w:val="subscript"/>
          <w:lang w:val="en-US"/>
        </w:rPr>
        <w:t>2</w:t>
      </w:r>
      <w:r w:rsidR="004245F6">
        <w:rPr>
          <w:szCs w:val="21"/>
          <w:lang w:val="en-US"/>
        </w:rPr>
        <w:t xml:space="preserve"> adsorption capacity of chars </w:t>
      </w:r>
      <w:r>
        <w:rPr>
          <w:szCs w:val="21"/>
          <w:lang w:val="en-US"/>
        </w:rPr>
        <w:t>seems to</w:t>
      </w:r>
      <w:r w:rsidR="004245F6">
        <w:rPr>
          <w:szCs w:val="21"/>
          <w:lang w:val="en-US"/>
        </w:rPr>
        <w:t xml:space="preserve"> be </w:t>
      </w:r>
      <w:r>
        <w:rPr>
          <w:szCs w:val="21"/>
          <w:lang w:val="en-US"/>
        </w:rPr>
        <w:t xml:space="preserve">more related to </w:t>
      </w:r>
      <w:r w:rsidR="004245F6">
        <w:rPr>
          <w:szCs w:val="21"/>
          <w:lang w:val="en-US"/>
        </w:rPr>
        <w:t xml:space="preserve">changes in the porous texture. </w:t>
      </w:r>
    </w:p>
    <w:p w14:paraId="21851DD6" w14:textId="62D31ACE" w:rsidR="00290946" w:rsidRDefault="00922DDA" w:rsidP="007D4346">
      <w:r>
        <w:rPr>
          <w:szCs w:val="21"/>
          <w:lang w:val="en-US"/>
        </w:rPr>
        <w:t xml:space="preserve">The </w:t>
      </w:r>
      <w:r w:rsidR="00B57255">
        <w:rPr>
          <w:szCs w:val="21"/>
          <w:lang w:val="en-US"/>
        </w:rPr>
        <w:t>supe</w:t>
      </w:r>
      <w:r w:rsidR="00B45FA7">
        <w:rPr>
          <w:szCs w:val="21"/>
          <w:lang w:val="en-US"/>
        </w:rPr>
        <w:t>r</w:t>
      </w:r>
      <w:r w:rsidR="00B57255">
        <w:rPr>
          <w:szCs w:val="21"/>
          <w:lang w:val="en-US"/>
        </w:rPr>
        <w:t>ior</w:t>
      </w:r>
      <w:r>
        <w:rPr>
          <w:szCs w:val="21"/>
          <w:lang w:val="en-US"/>
        </w:rPr>
        <w:t xml:space="preserve"> performance of </w:t>
      </w:r>
      <w:r w:rsidR="003E3B33">
        <w:rPr>
          <w:szCs w:val="21"/>
          <w:lang w:val="en-US"/>
        </w:rPr>
        <w:t xml:space="preserve">the </w:t>
      </w:r>
      <w:r>
        <w:rPr>
          <w:szCs w:val="21"/>
          <w:lang w:val="en-US"/>
        </w:rPr>
        <w:t xml:space="preserve">proteins chars produced at 750 ºC </w:t>
      </w:r>
      <w:proofErr w:type="spellStart"/>
      <w:r>
        <w:rPr>
          <w:szCs w:val="21"/>
          <w:lang w:val="en-US"/>
        </w:rPr>
        <w:t>can not</w:t>
      </w:r>
      <w:proofErr w:type="spellEnd"/>
      <w:r>
        <w:rPr>
          <w:szCs w:val="21"/>
          <w:lang w:val="en-US"/>
        </w:rPr>
        <w:t xml:space="preserve"> be explained by </w:t>
      </w:r>
      <w:r w:rsidR="00B57255">
        <w:rPr>
          <w:szCs w:val="21"/>
          <w:lang w:val="en-US"/>
        </w:rPr>
        <w:t>solely</w:t>
      </w:r>
      <w:r>
        <w:rPr>
          <w:szCs w:val="21"/>
          <w:lang w:val="en-US"/>
        </w:rPr>
        <w:t xml:space="preserve"> </w:t>
      </w:r>
      <w:r w:rsidR="003E3B33">
        <w:rPr>
          <w:szCs w:val="21"/>
          <w:lang w:val="en-US"/>
        </w:rPr>
        <w:t xml:space="preserve">considering </w:t>
      </w:r>
      <w:r w:rsidR="00987646">
        <w:rPr>
          <w:szCs w:val="21"/>
          <w:lang w:val="en-US"/>
        </w:rPr>
        <w:t xml:space="preserve">either </w:t>
      </w:r>
      <w:r w:rsidR="00B57255">
        <w:rPr>
          <w:szCs w:val="21"/>
          <w:lang w:val="en-US"/>
        </w:rPr>
        <w:t xml:space="preserve">the </w:t>
      </w:r>
      <w:r>
        <w:rPr>
          <w:szCs w:val="21"/>
          <w:lang w:val="en-US"/>
        </w:rPr>
        <w:t>S</w:t>
      </w:r>
      <w:r w:rsidRPr="003E3B33">
        <w:rPr>
          <w:szCs w:val="21"/>
          <w:vertAlign w:val="subscript"/>
          <w:lang w:val="en-US"/>
        </w:rPr>
        <w:t>BET</w:t>
      </w:r>
      <w:r>
        <w:rPr>
          <w:szCs w:val="21"/>
          <w:lang w:val="en-US"/>
        </w:rPr>
        <w:t xml:space="preserve"> (which was </w:t>
      </w:r>
      <w:r w:rsidR="003E3B33">
        <w:rPr>
          <w:szCs w:val="21"/>
          <w:lang w:val="en-US"/>
        </w:rPr>
        <w:t xml:space="preserve">almost </w:t>
      </w:r>
      <w:r w:rsidR="00B57255">
        <w:rPr>
          <w:szCs w:val="21"/>
          <w:lang w:val="en-US"/>
        </w:rPr>
        <w:t>zero</w:t>
      </w:r>
      <w:r w:rsidR="003E3B33">
        <w:rPr>
          <w:szCs w:val="21"/>
          <w:lang w:val="en-US"/>
        </w:rPr>
        <w:t xml:space="preserve"> in most cases)</w:t>
      </w:r>
      <w:r>
        <w:rPr>
          <w:szCs w:val="21"/>
          <w:lang w:val="en-US"/>
        </w:rPr>
        <w:t xml:space="preserve"> </w:t>
      </w:r>
      <w:r w:rsidR="003E3B33">
        <w:rPr>
          <w:szCs w:val="21"/>
          <w:lang w:val="en-US"/>
        </w:rPr>
        <w:t xml:space="preserve">or </w:t>
      </w:r>
      <w:r w:rsidR="00B57255">
        <w:rPr>
          <w:szCs w:val="21"/>
          <w:lang w:val="en-US"/>
        </w:rPr>
        <w:t xml:space="preserve">the </w:t>
      </w:r>
      <w:r w:rsidR="003E3B33">
        <w:rPr>
          <w:szCs w:val="21"/>
          <w:lang w:val="en-US"/>
        </w:rPr>
        <w:t xml:space="preserve">N content (which decreased with pyrolysis temperature). </w:t>
      </w:r>
      <w:r w:rsidR="00C237F8">
        <w:rPr>
          <w:szCs w:val="21"/>
          <w:lang w:val="en-US"/>
        </w:rPr>
        <w:t>A</w:t>
      </w:r>
      <w:r w:rsidR="00C237F8" w:rsidRPr="00C237F8">
        <w:rPr>
          <w:szCs w:val="21"/>
          <w:lang w:val="en-US"/>
        </w:rPr>
        <w:t xml:space="preserve">dditional analyses </w:t>
      </w:r>
      <w:r w:rsidR="00F402C2">
        <w:rPr>
          <w:szCs w:val="21"/>
          <w:lang w:val="en-US"/>
        </w:rPr>
        <w:t>have been</w:t>
      </w:r>
      <w:r w:rsidR="00C237F8" w:rsidRPr="00C237F8">
        <w:rPr>
          <w:szCs w:val="21"/>
          <w:lang w:val="en-US"/>
        </w:rPr>
        <w:t xml:space="preserve"> done based on other concepts such as the TVFM (theory for the volume filling of </w:t>
      </w:r>
      <w:proofErr w:type="spellStart"/>
      <w:r w:rsidR="00C237F8" w:rsidRPr="00C237F8">
        <w:rPr>
          <w:szCs w:val="21"/>
          <w:lang w:val="en-US"/>
        </w:rPr>
        <w:t>micropores</w:t>
      </w:r>
      <w:proofErr w:type="spellEnd"/>
      <w:r w:rsidR="00C237F8" w:rsidRPr="00C237F8">
        <w:rPr>
          <w:szCs w:val="21"/>
          <w:lang w:val="en-US"/>
        </w:rPr>
        <w:t>) approa</w:t>
      </w:r>
      <w:r w:rsidR="00F402C2">
        <w:rPr>
          <w:szCs w:val="21"/>
          <w:lang w:val="en-US"/>
        </w:rPr>
        <w:t xml:space="preserve">ch by </w:t>
      </w:r>
      <w:proofErr w:type="spellStart"/>
      <w:r w:rsidR="00F402C2">
        <w:rPr>
          <w:szCs w:val="21"/>
          <w:lang w:val="en-US"/>
        </w:rPr>
        <w:t>Dubinin</w:t>
      </w:r>
      <w:proofErr w:type="spellEnd"/>
      <w:r w:rsidR="00F402C2">
        <w:rPr>
          <w:szCs w:val="21"/>
          <w:lang w:val="en-US"/>
        </w:rPr>
        <w:t xml:space="preserve"> (</w:t>
      </w:r>
      <w:proofErr w:type="spellStart"/>
      <w:r w:rsidR="00F402C2">
        <w:rPr>
          <w:szCs w:val="21"/>
          <w:lang w:val="en-US"/>
        </w:rPr>
        <w:t>Dubinin</w:t>
      </w:r>
      <w:proofErr w:type="spellEnd"/>
      <w:r w:rsidR="00F402C2">
        <w:rPr>
          <w:szCs w:val="21"/>
          <w:lang w:val="en-US"/>
        </w:rPr>
        <w:t xml:space="preserve">, 1989). </w:t>
      </w:r>
      <w:r w:rsidR="00290946">
        <w:rPr>
          <w:szCs w:val="21"/>
          <w:lang w:val="en-US"/>
        </w:rPr>
        <w:t>CO</w:t>
      </w:r>
      <w:r w:rsidR="00290946" w:rsidRPr="00290946">
        <w:rPr>
          <w:szCs w:val="21"/>
          <w:vertAlign w:val="subscript"/>
          <w:lang w:val="en-US"/>
        </w:rPr>
        <w:t>2</w:t>
      </w:r>
      <w:r w:rsidR="00290946">
        <w:rPr>
          <w:szCs w:val="21"/>
          <w:lang w:val="en-US"/>
        </w:rPr>
        <w:t xml:space="preserve"> adsorption isotherm</w:t>
      </w:r>
      <w:r w:rsidR="00B57255">
        <w:rPr>
          <w:szCs w:val="21"/>
          <w:lang w:val="en-US"/>
        </w:rPr>
        <w:t>s</w:t>
      </w:r>
      <w:r w:rsidR="00290946">
        <w:rPr>
          <w:szCs w:val="21"/>
          <w:lang w:val="en-US"/>
        </w:rPr>
        <w:t xml:space="preserve"> at 273 K </w:t>
      </w:r>
      <w:r w:rsidR="00B57255">
        <w:rPr>
          <w:szCs w:val="21"/>
          <w:lang w:val="en-US"/>
        </w:rPr>
        <w:t xml:space="preserve">were </w:t>
      </w:r>
      <w:r w:rsidR="00290946">
        <w:rPr>
          <w:szCs w:val="21"/>
          <w:lang w:val="en-US"/>
        </w:rPr>
        <w:t>examined</w:t>
      </w:r>
      <w:r w:rsidR="003E3B33">
        <w:rPr>
          <w:szCs w:val="21"/>
          <w:lang w:val="en-US"/>
        </w:rPr>
        <w:t xml:space="preserve"> </w:t>
      </w:r>
      <w:r w:rsidR="00290946">
        <w:t>using</w:t>
      </w:r>
      <w:r w:rsidR="00B57255">
        <w:t xml:space="preserve"> the</w:t>
      </w:r>
      <w:r w:rsidR="00290946">
        <w:t xml:space="preserve"> Dubinin-Radushkevich (DR) equation</w:t>
      </w:r>
      <w:r w:rsidR="00F402C2">
        <w:t xml:space="preserve"> at a</w:t>
      </w:r>
      <w:r w:rsidR="00083862">
        <w:t xml:space="preserve"> low relative pressure (P/P</w:t>
      </w:r>
      <w:r w:rsidR="00083862" w:rsidRPr="00083862">
        <w:rPr>
          <w:vertAlign w:val="subscript"/>
        </w:rPr>
        <w:t>o</w:t>
      </w:r>
      <w:r w:rsidR="00083862">
        <w:t xml:space="preserve"> &lt; 0.03)</w:t>
      </w:r>
      <w:r w:rsidR="00290946">
        <w:t xml:space="preserve">. </w:t>
      </w:r>
      <w:r w:rsidR="007D4346">
        <w:t xml:space="preserve">The </w:t>
      </w:r>
      <w:r w:rsidR="00C64CD9">
        <w:t>m</w:t>
      </w:r>
      <w:r w:rsidR="00C64CD9" w:rsidRPr="00C64CD9">
        <w:t xml:space="preserve">icropore volume and average pore width </w:t>
      </w:r>
      <w:r w:rsidR="00B57255">
        <w:t xml:space="preserve">results </w:t>
      </w:r>
      <w:r w:rsidR="00290946">
        <w:t xml:space="preserve">calculated according to </w:t>
      </w:r>
      <w:r w:rsidR="00083862">
        <w:t>this method</w:t>
      </w:r>
      <w:r w:rsidR="00290946">
        <w:t xml:space="preserve"> are shown in </w:t>
      </w:r>
      <w:r w:rsidR="004A4B52">
        <w:t xml:space="preserve">Table </w:t>
      </w:r>
      <w:r w:rsidR="003E3B33">
        <w:t>3</w:t>
      </w:r>
      <w:r w:rsidR="00083862" w:rsidRPr="00083862">
        <w:t xml:space="preserve">. </w:t>
      </w:r>
      <w:r w:rsidR="00083862">
        <w:t xml:space="preserve">Narrower micropores were detected </w:t>
      </w:r>
      <w:r w:rsidR="00C137C4">
        <w:t>for higher</w:t>
      </w:r>
      <w:r w:rsidR="00083862">
        <w:t xml:space="preserve"> pyrolysis </w:t>
      </w:r>
      <w:r w:rsidR="00083862">
        <w:lastRenderedPageBreak/>
        <w:t>temperature</w:t>
      </w:r>
      <w:r w:rsidR="00C137C4">
        <w:t>s</w:t>
      </w:r>
      <w:r w:rsidR="00083862">
        <w:t xml:space="preserve">. </w:t>
      </w:r>
      <w:r w:rsidR="00083862" w:rsidRPr="00083862">
        <w:t xml:space="preserve">The good linearity </w:t>
      </w:r>
      <w:r w:rsidR="00083862">
        <w:t xml:space="preserve">in DR-plots </w:t>
      </w:r>
      <w:r w:rsidR="00083862" w:rsidRPr="00083862">
        <w:t>is consistent with the micropore filling model for CO</w:t>
      </w:r>
      <w:r w:rsidR="00083862" w:rsidRPr="00083862">
        <w:rPr>
          <w:vertAlign w:val="subscript"/>
        </w:rPr>
        <w:t>2</w:t>
      </w:r>
      <w:r w:rsidR="00083862" w:rsidRPr="00083862">
        <w:t xml:space="preserve"> adsorption </w:t>
      </w:r>
      <w:r w:rsidR="00083862">
        <w:t xml:space="preserve">in </w:t>
      </w:r>
      <w:r w:rsidR="00AC083B">
        <w:t>narrow</w:t>
      </w:r>
      <w:r w:rsidR="003E3B33">
        <w:t xml:space="preserve"> micropores </w:t>
      </w:r>
      <w:r w:rsidR="00AC083B">
        <w:t>(ultramicropores)</w:t>
      </w:r>
      <w:r w:rsidR="00083862">
        <w:t>,</w:t>
      </w:r>
      <w:r w:rsidR="00AC083B">
        <w:t xml:space="preserve"> </w:t>
      </w:r>
      <w:r w:rsidR="003E3B33">
        <w:t xml:space="preserve">which </w:t>
      </w:r>
      <w:r w:rsidR="00987646">
        <w:t>could</w:t>
      </w:r>
      <w:r w:rsidR="003E3B33">
        <w:t xml:space="preserve"> not </w:t>
      </w:r>
      <w:r w:rsidR="00987646">
        <w:t xml:space="preserve">be </w:t>
      </w:r>
      <w:r w:rsidR="00AC083B">
        <w:t>detected</w:t>
      </w:r>
      <w:r w:rsidR="003E3B33">
        <w:t xml:space="preserve"> by </w:t>
      </w:r>
      <w:r w:rsidR="00AC083B">
        <w:t xml:space="preserve">single </w:t>
      </w:r>
      <w:r w:rsidR="003E3B33">
        <w:t>N</w:t>
      </w:r>
      <w:r w:rsidR="003E3B33" w:rsidRPr="003E3B33">
        <w:rPr>
          <w:vertAlign w:val="subscript"/>
        </w:rPr>
        <w:t>2</w:t>
      </w:r>
      <w:r w:rsidR="003E3B33">
        <w:t xml:space="preserve"> adsorption </w:t>
      </w:r>
      <w:r w:rsidR="00AC083B">
        <w:t xml:space="preserve">because of </w:t>
      </w:r>
      <w:r w:rsidR="00AC083B" w:rsidRPr="00AC083B">
        <w:t>the restricted diffusion of N</w:t>
      </w:r>
      <w:r w:rsidR="00AC083B" w:rsidRPr="00AC083B">
        <w:rPr>
          <w:vertAlign w:val="subscript"/>
        </w:rPr>
        <w:t>2</w:t>
      </w:r>
      <w:r w:rsidR="00AC083B" w:rsidRPr="00AC083B">
        <w:t xml:space="preserve"> into very narrow micropores at low temperatures and pressures</w:t>
      </w:r>
      <w:r w:rsidR="007D4346">
        <w:t xml:space="preserve"> </w:t>
      </w:r>
      <w:r w:rsidR="007458F8">
        <w:fldChar w:fldCharType="begin" w:fldLock="1"/>
      </w:r>
      <w:r w:rsidR="007458F8">
        <w:instrText>ADDIN CSL_CITATION {"citationItems":[{"id":"ITEM-1","itemData":{"DOI":"10.1016/j.carbon.2018.12.028","ISSN":"00086223","abstract":"In this study, biochars obtained by either direct carbonization or hydrothermal treatment of corn stems were used as precursors of two series of activated carbons (ACs). The pore size distributions (PSDs) of biochars and ACs were evaluated from N2 and CO2 adsorption isotherms using models based on the two-dimensional version of the non-local density functional theory (2D-NLDFT). We showed that more detailed carbon PSDs might be obtained from simultaneous (dual) gas analysis of both N2 and CO2 isotherms than from single isotherms. The dual gas method showed a peak at about 0.4 nm which was not detected by the single N2 analysis. This fact is related to the restricted diffusion of N2 into very narrow micropores at low temperatures and pressures. By modifying the lower pore width limit wmin in the nitrogen model, we obtained an excellent fit of the dual model to both isotherms for all studied samples, which demonstrates the reliability and robustness of this refined method. Finally, we demonstrated that this approach would allow measuring N2 isotherms at relative pressures starting at about 0.001 rather than at 10−6, which would save time without losing resolution of the calculated PSD.","author":[{"dropping-particle":"","family":"Jagiello","given":"Jacek","non-dropping-particle":"","parse-names":false,"suffix":""},{"dropping-particle":"","family":"Kenvin","given":"Jeffrey","non-dropping-particle":"","parse-names":false,"suffix":""},{"dropping-particle":"","family":"Celzard","given":"Alain","non-dropping-particle":"","parse-names":false,"suffix":""},{"dropping-particle":"","family":"Fierro","given":"Vanessa","non-dropping-particle":"","parse-names":false,"suffix":""}],"container-title":"Carbon","id":"ITEM-1","issued":{"date-parts":[["2019","4","1"]]},"page":"206-215","publisher":"Elsevier Ltd","title":"Enhanced resolution of ultra micropore size determination of biochars and activated carbons by dual gas analysis using N2 and CO2 with 2D-NLDFT adsorption models","type":"article-journal","volume":"144"},"uris":["http://www.mendeley.com/documents/?uuid=8f122e82-c8cb-3a28-8fd4-c5d603bd341d"]}],"mendeley":{"formattedCitation":"(Jagiello et al., 2019)","plainTextFormattedCitation":"(Jagiello et al., 2019)","previouslyFormattedCitation":"(Jagiello et al., 2019)"},"properties":{"noteIndex":0},"schema":"https://github.com/citation-style-language/schema/raw/master/csl-citation.json"}</w:instrText>
      </w:r>
      <w:r w:rsidR="007458F8">
        <w:fldChar w:fldCharType="separate"/>
      </w:r>
      <w:r w:rsidR="007458F8" w:rsidRPr="007458F8">
        <w:rPr>
          <w:noProof/>
        </w:rPr>
        <w:t>(Jagiello et al., 2019)</w:t>
      </w:r>
      <w:r w:rsidR="007458F8">
        <w:fldChar w:fldCharType="end"/>
      </w:r>
      <w:r w:rsidR="007458F8">
        <w:t>.</w:t>
      </w:r>
      <w:r w:rsidR="00987646">
        <w:t xml:space="preserve"> </w:t>
      </w:r>
      <w:r w:rsidR="007D4346">
        <w:t xml:space="preserve">The origin of such </w:t>
      </w:r>
      <w:r w:rsidR="00AC083B">
        <w:t>ultra</w:t>
      </w:r>
      <w:r w:rsidR="00987646">
        <w:t>micropor</w:t>
      </w:r>
      <w:r w:rsidR="007D4346">
        <w:t>ous structure</w:t>
      </w:r>
      <w:r w:rsidR="00987646">
        <w:t xml:space="preserve"> could be the release of gas molecules </w:t>
      </w:r>
      <w:r w:rsidR="00DF30C2">
        <w:t>through</w:t>
      </w:r>
      <w:r w:rsidR="00987646">
        <w:t xml:space="preserve"> the thermoplastic phase occurring during the pyrolysis of proteins. </w:t>
      </w:r>
    </w:p>
    <w:p w14:paraId="0C3E66D7" w14:textId="041E1B49" w:rsidR="007D4346" w:rsidRDefault="007D4346" w:rsidP="00E46261">
      <w:pPr>
        <w:pBdr>
          <w:top w:val="nil"/>
          <w:left w:val="nil"/>
          <w:bottom w:val="nil"/>
          <w:right w:val="nil"/>
          <w:between w:val="nil"/>
        </w:pBdr>
        <w:spacing w:before="360" w:after="120" w:line="240" w:lineRule="auto"/>
        <w:ind w:right="0" w:firstLine="0"/>
      </w:pPr>
      <w:r w:rsidRPr="00D871E1">
        <w:rPr>
          <w:color w:val="000000"/>
          <w:sz w:val="18"/>
          <w:szCs w:val="18"/>
        </w:rPr>
        <w:t xml:space="preserve">Table </w:t>
      </w:r>
      <w:r>
        <w:rPr>
          <w:color w:val="000000"/>
          <w:sz w:val="18"/>
          <w:szCs w:val="18"/>
        </w:rPr>
        <w:t>3</w:t>
      </w:r>
      <w:r w:rsidRPr="00D871E1">
        <w:rPr>
          <w:color w:val="000000"/>
          <w:sz w:val="18"/>
          <w:szCs w:val="18"/>
        </w:rPr>
        <w:t xml:space="preserve">. </w:t>
      </w:r>
      <w:r w:rsidR="006B58FA">
        <w:rPr>
          <w:sz w:val="18"/>
          <w:szCs w:val="18"/>
        </w:rPr>
        <w:t xml:space="preserve">Micropore volume </w:t>
      </w:r>
      <w:r w:rsidR="00424D7B">
        <w:rPr>
          <w:sz w:val="18"/>
          <w:szCs w:val="18"/>
        </w:rPr>
        <w:t>(V</w:t>
      </w:r>
      <w:r w:rsidR="00424D7B" w:rsidRPr="00424D7B">
        <w:rPr>
          <w:sz w:val="18"/>
          <w:szCs w:val="18"/>
          <w:vertAlign w:val="subscript"/>
        </w:rPr>
        <w:t>mp</w:t>
      </w:r>
      <w:r w:rsidR="00424D7B">
        <w:rPr>
          <w:sz w:val="18"/>
          <w:szCs w:val="18"/>
        </w:rPr>
        <w:t xml:space="preserve">) </w:t>
      </w:r>
      <w:r w:rsidR="006B58FA">
        <w:rPr>
          <w:sz w:val="18"/>
          <w:szCs w:val="18"/>
        </w:rPr>
        <w:t>and average pore wid</w:t>
      </w:r>
      <w:r w:rsidR="00424D7B">
        <w:rPr>
          <w:sz w:val="18"/>
          <w:szCs w:val="18"/>
        </w:rPr>
        <w:t>t</w:t>
      </w:r>
      <w:r w:rsidR="006B58FA">
        <w:rPr>
          <w:sz w:val="18"/>
          <w:szCs w:val="18"/>
        </w:rPr>
        <w:t xml:space="preserve">h </w:t>
      </w:r>
      <w:r w:rsidR="00424D7B">
        <w:rPr>
          <w:sz w:val="18"/>
          <w:szCs w:val="18"/>
        </w:rPr>
        <w:t>(D</w:t>
      </w:r>
      <w:r w:rsidR="00424D7B" w:rsidRPr="00424D7B">
        <w:rPr>
          <w:sz w:val="18"/>
          <w:szCs w:val="18"/>
          <w:vertAlign w:val="subscript"/>
        </w:rPr>
        <w:t>p</w:t>
      </w:r>
      <w:r w:rsidR="00424D7B">
        <w:rPr>
          <w:sz w:val="18"/>
          <w:szCs w:val="18"/>
        </w:rPr>
        <w:t xml:space="preserve">) </w:t>
      </w:r>
      <w:r w:rsidR="006B58FA">
        <w:rPr>
          <w:sz w:val="18"/>
          <w:szCs w:val="18"/>
        </w:rPr>
        <w:t>according to</w:t>
      </w:r>
      <w:r w:rsidRPr="00D871E1">
        <w:rPr>
          <w:sz w:val="18"/>
          <w:szCs w:val="18"/>
        </w:rPr>
        <w:t xml:space="preserve"> </w:t>
      </w:r>
      <w:r>
        <w:rPr>
          <w:sz w:val="18"/>
          <w:szCs w:val="18"/>
        </w:rPr>
        <w:t>DR-</w:t>
      </w:r>
      <w:r w:rsidRPr="00D871E1">
        <w:rPr>
          <w:sz w:val="18"/>
          <w:szCs w:val="18"/>
        </w:rPr>
        <w:t>method</w:t>
      </w:r>
      <w:r>
        <w:rPr>
          <w:sz w:val="18"/>
          <w:szCs w:val="18"/>
        </w:rPr>
        <w:t xml:space="preserve"> (CO</w:t>
      </w:r>
      <w:r w:rsidRPr="007D4346">
        <w:rPr>
          <w:sz w:val="18"/>
          <w:szCs w:val="18"/>
          <w:vertAlign w:val="subscript"/>
        </w:rPr>
        <w:t>2</w:t>
      </w:r>
      <w:r>
        <w:rPr>
          <w:sz w:val="18"/>
          <w:szCs w:val="18"/>
        </w:rPr>
        <w:t xml:space="preserve"> adsorption at 273 K)</w:t>
      </w:r>
      <w:r w:rsidR="005D1A18">
        <w:rPr>
          <w:sz w:val="18"/>
          <w:szCs w:val="18"/>
        </w:rPr>
        <w:t>.</w:t>
      </w:r>
      <w:r w:rsidRPr="00D871E1">
        <w:rPr>
          <w:sz w:val="18"/>
          <w:szCs w:val="18"/>
        </w:rPr>
        <w:t xml:space="preserve"> </w:t>
      </w:r>
    </w:p>
    <w:tbl>
      <w:tblPr>
        <w:tblW w:w="4230" w:type="pct"/>
        <w:jc w:val="center"/>
        <w:tblInd w:w="250" w:type="dxa"/>
        <w:tblBorders>
          <w:top w:val="single" w:sz="4" w:space="0" w:color="000000"/>
          <w:bottom w:val="single" w:sz="4" w:space="0" w:color="000000"/>
          <w:insideH w:val="single" w:sz="4" w:space="0" w:color="000000"/>
        </w:tblBorders>
        <w:tblLook w:val="0400" w:firstRow="0" w:lastRow="0" w:firstColumn="0" w:lastColumn="0" w:noHBand="0" w:noVBand="1"/>
      </w:tblPr>
      <w:tblGrid>
        <w:gridCol w:w="988"/>
        <w:gridCol w:w="1461"/>
        <w:gridCol w:w="1631"/>
        <w:gridCol w:w="1146"/>
        <w:gridCol w:w="1446"/>
        <w:gridCol w:w="1660"/>
      </w:tblGrid>
      <w:tr w:rsidR="00424D7B" w14:paraId="0811963F" w14:textId="77777777" w:rsidTr="00424D7B">
        <w:trPr>
          <w:trHeight w:val="377"/>
          <w:jc w:val="center"/>
        </w:trPr>
        <w:tc>
          <w:tcPr>
            <w:tcW w:w="592" w:type="pct"/>
            <w:tcBorders>
              <w:left w:val="nil"/>
            </w:tcBorders>
            <w:vAlign w:val="center"/>
          </w:tcPr>
          <w:p w14:paraId="1377B522" w14:textId="77777777" w:rsidR="00424D7B" w:rsidRPr="001E711E" w:rsidRDefault="00424D7B" w:rsidP="00424D7B">
            <w:pPr>
              <w:pBdr>
                <w:top w:val="nil"/>
                <w:left w:val="nil"/>
                <w:bottom w:val="nil"/>
                <w:right w:val="nil"/>
                <w:between w:val="nil"/>
              </w:pBdr>
              <w:spacing w:line="240" w:lineRule="auto"/>
              <w:ind w:firstLine="34"/>
              <w:jc w:val="center"/>
              <w:rPr>
                <w:rFonts w:eastAsia="Helvetica Neue" w:cs="Arial"/>
                <w:b/>
                <w:color w:val="000000"/>
                <w:sz w:val="18"/>
                <w:szCs w:val="18"/>
              </w:rPr>
            </w:pPr>
          </w:p>
        </w:tc>
        <w:tc>
          <w:tcPr>
            <w:tcW w:w="877" w:type="pct"/>
            <w:tcBorders>
              <w:right w:val="nil"/>
            </w:tcBorders>
            <w:shd w:val="clear" w:color="auto" w:fill="auto"/>
            <w:vAlign w:val="center"/>
          </w:tcPr>
          <w:p w14:paraId="726C9A76" w14:textId="62F81FE9" w:rsidR="00424D7B" w:rsidRPr="00424D7B" w:rsidRDefault="00424D7B" w:rsidP="00424D7B">
            <w:pPr>
              <w:pBdr>
                <w:top w:val="nil"/>
                <w:left w:val="nil"/>
                <w:bottom w:val="nil"/>
                <w:right w:val="nil"/>
                <w:between w:val="nil"/>
              </w:pBdr>
              <w:spacing w:line="240" w:lineRule="auto"/>
              <w:ind w:firstLine="34"/>
              <w:jc w:val="center"/>
              <w:rPr>
                <w:rFonts w:eastAsia="Helvetica Neue" w:cs="Arial"/>
                <w:b/>
                <w:color w:val="000000"/>
                <w:sz w:val="18"/>
                <w:szCs w:val="18"/>
              </w:rPr>
            </w:pPr>
            <w:r w:rsidRPr="00424D7B">
              <w:rPr>
                <w:rFonts w:eastAsia="Helvetica Neue" w:cs="Arial"/>
                <w:b/>
                <w:color w:val="000000"/>
                <w:sz w:val="18"/>
                <w:szCs w:val="18"/>
              </w:rPr>
              <w:t>V</w:t>
            </w:r>
            <w:r w:rsidRPr="00424D7B">
              <w:rPr>
                <w:rFonts w:eastAsia="Helvetica Neue" w:cs="Arial"/>
                <w:b/>
                <w:color w:val="000000"/>
                <w:sz w:val="18"/>
                <w:szCs w:val="18"/>
                <w:vertAlign w:val="subscript"/>
              </w:rPr>
              <w:t xml:space="preserve">mp </w:t>
            </w:r>
            <w:r w:rsidRPr="00424D7B">
              <w:rPr>
                <w:rFonts w:eastAsia="Helvetica Neue" w:cs="Arial"/>
                <w:b/>
                <w:color w:val="000000"/>
                <w:sz w:val="18"/>
                <w:szCs w:val="18"/>
              </w:rPr>
              <w:t>(cm</w:t>
            </w:r>
            <w:r w:rsidRPr="00424D7B">
              <w:rPr>
                <w:rFonts w:eastAsia="Helvetica Neue" w:cs="Arial"/>
                <w:b/>
                <w:color w:val="000000"/>
                <w:sz w:val="18"/>
                <w:szCs w:val="18"/>
                <w:vertAlign w:val="superscript"/>
              </w:rPr>
              <w:t>3</w:t>
            </w:r>
            <w:r w:rsidRPr="00424D7B">
              <w:rPr>
                <w:rFonts w:eastAsia="Helvetica Neue" w:cs="Arial"/>
                <w:b/>
                <w:color w:val="000000"/>
                <w:sz w:val="18"/>
                <w:szCs w:val="18"/>
                <w:vertAlign w:val="subscript"/>
              </w:rPr>
              <w:t>STP</w:t>
            </w:r>
            <w:r w:rsidRPr="00424D7B">
              <w:rPr>
                <w:rFonts w:eastAsia="Helvetica Neue" w:cs="Arial"/>
                <w:b/>
                <w:color w:val="000000"/>
                <w:sz w:val="18"/>
                <w:szCs w:val="18"/>
              </w:rPr>
              <w:t>/g)</w:t>
            </w:r>
          </w:p>
        </w:tc>
        <w:tc>
          <w:tcPr>
            <w:tcW w:w="979" w:type="pct"/>
            <w:tcBorders>
              <w:right w:val="dotted" w:sz="4" w:space="0" w:color="auto"/>
            </w:tcBorders>
            <w:vAlign w:val="center"/>
          </w:tcPr>
          <w:p w14:paraId="4B6E9B26" w14:textId="4DB8BD47" w:rsidR="00424D7B" w:rsidRPr="00424D7B" w:rsidRDefault="00424D7B" w:rsidP="00424D7B">
            <w:pPr>
              <w:pBdr>
                <w:top w:val="nil"/>
                <w:left w:val="nil"/>
                <w:bottom w:val="nil"/>
                <w:right w:val="nil"/>
                <w:between w:val="nil"/>
              </w:pBdr>
              <w:spacing w:line="240" w:lineRule="auto"/>
              <w:ind w:firstLine="34"/>
              <w:jc w:val="center"/>
              <w:rPr>
                <w:rFonts w:eastAsia="Helvetica Neue" w:cs="Arial"/>
                <w:b/>
                <w:color w:val="000000"/>
                <w:sz w:val="18"/>
                <w:szCs w:val="18"/>
              </w:rPr>
            </w:pPr>
            <w:r w:rsidRPr="00424D7B">
              <w:rPr>
                <w:rFonts w:eastAsia="Helvetica Neue" w:cs="Arial"/>
                <w:b/>
                <w:color w:val="000000"/>
                <w:sz w:val="18"/>
                <w:szCs w:val="18"/>
              </w:rPr>
              <w:t>D</w:t>
            </w:r>
            <w:r w:rsidRPr="00424D7B">
              <w:rPr>
                <w:rFonts w:eastAsia="Helvetica Neue" w:cs="Arial"/>
                <w:b/>
                <w:color w:val="000000"/>
                <w:sz w:val="18"/>
                <w:szCs w:val="18"/>
                <w:vertAlign w:val="subscript"/>
              </w:rPr>
              <w:t>p</w:t>
            </w:r>
            <w:r w:rsidRPr="00424D7B">
              <w:rPr>
                <w:rFonts w:eastAsia="Helvetica Neue" w:cs="Arial"/>
                <w:b/>
                <w:color w:val="000000"/>
                <w:sz w:val="18"/>
                <w:szCs w:val="18"/>
              </w:rPr>
              <w:t xml:space="preserve"> (nm)</w:t>
            </w:r>
          </w:p>
        </w:tc>
        <w:tc>
          <w:tcPr>
            <w:tcW w:w="688" w:type="pct"/>
            <w:tcBorders>
              <w:left w:val="dotted" w:sz="4" w:space="0" w:color="auto"/>
            </w:tcBorders>
            <w:vAlign w:val="center"/>
          </w:tcPr>
          <w:p w14:paraId="6D42EB6D" w14:textId="720A6F8C" w:rsidR="00424D7B" w:rsidRPr="00424D7B" w:rsidRDefault="00424D7B" w:rsidP="00424D7B">
            <w:pPr>
              <w:pBdr>
                <w:top w:val="nil"/>
                <w:left w:val="nil"/>
                <w:bottom w:val="nil"/>
                <w:right w:val="nil"/>
                <w:between w:val="nil"/>
              </w:pBdr>
              <w:spacing w:line="240" w:lineRule="auto"/>
              <w:ind w:firstLine="34"/>
              <w:jc w:val="center"/>
              <w:rPr>
                <w:rFonts w:eastAsia="Helvetica Neue" w:cs="Arial"/>
                <w:b/>
                <w:color w:val="000000"/>
                <w:sz w:val="18"/>
                <w:szCs w:val="18"/>
              </w:rPr>
            </w:pPr>
          </w:p>
        </w:tc>
        <w:tc>
          <w:tcPr>
            <w:tcW w:w="868" w:type="pct"/>
            <w:vAlign w:val="center"/>
          </w:tcPr>
          <w:p w14:paraId="3B4EA0A5" w14:textId="03BED51F" w:rsidR="00424D7B" w:rsidRPr="00424D7B" w:rsidRDefault="00424D7B" w:rsidP="00424D7B">
            <w:pPr>
              <w:pBdr>
                <w:top w:val="nil"/>
                <w:left w:val="nil"/>
                <w:bottom w:val="nil"/>
                <w:right w:val="nil"/>
                <w:between w:val="nil"/>
              </w:pBdr>
              <w:spacing w:line="240" w:lineRule="auto"/>
              <w:ind w:firstLine="34"/>
              <w:jc w:val="center"/>
              <w:rPr>
                <w:rFonts w:eastAsia="Helvetica Neue" w:cs="Arial"/>
                <w:b/>
                <w:color w:val="000000"/>
                <w:sz w:val="18"/>
                <w:szCs w:val="18"/>
              </w:rPr>
            </w:pPr>
            <w:r w:rsidRPr="00424D7B">
              <w:rPr>
                <w:rFonts w:eastAsia="Helvetica Neue" w:cs="Arial"/>
                <w:b/>
                <w:color w:val="000000"/>
                <w:sz w:val="18"/>
                <w:szCs w:val="18"/>
              </w:rPr>
              <w:t>V</w:t>
            </w:r>
            <w:r w:rsidRPr="00424D7B">
              <w:rPr>
                <w:rFonts w:eastAsia="Helvetica Neue" w:cs="Arial"/>
                <w:b/>
                <w:color w:val="000000"/>
                <w:sz w:val="18"/>
                <w:szCs w:val="18"/>
                <w:vertAlign w:val="subscript"/>
              </w:rPr>
              <w:t xml:space="preserve">mp </w:t>
            </w:r>
            <w:r w:rsidRPr="00424D7B">
              <w:rPr>
                <w:rFonts w:eastAsia="Helvetica Neue" w:cs="Arial"/>
                <w:b/>
                <w:color w:val="000000"/>
                <w:sz w:val="18"/>
                <w:szCs w:val="18"/>
              </w:rPr>
              <w:t>(cm</w:t>
            </w:r>
            <w:r w:rsidRPr="00424D7B">
              <w:rPr>
                <w:rFonts w:eastAsia="Helvetica Neue" w:cs="Arial"/>
                <w:b/>
                <w:color w:val="000000"/>
                <w:sz w:val="18"/>
                <w:szCs w:val="18"/>
                <w:vertAlign w:val="superscript"/>
              </w:rPr>
              <w:t>3</w:t>
            </w:r>
            <w:r w:rsidRPr="00424D7B">
              <w:rPr>
                <w:rFonts w:eastAsia="Helvetica Neue" w:cs="Arial"/>
                <w:b/>
                <w:color w:val="000000"/>
                <w:sz w:val="18"/>
                <w:szCs w:val="18"/>
                <w:vertAlign w:val="subscript"/>
              </w:rPr>
              <w:t>STP</w:t>
            </w:r>
            <w:r w:rsidRPr="00424D7B">
              <w:rPr>
                <w:rFonts w:eastAsia="Helvetica Neue" w:cs="Arial"/>
                <w:b/>
                <w:color w:val="000000"/>
                <w:sz w:val="18"/>
                <w:szCs w:val="18"/>
              </w:rPr>
              <w:t>/g)</w:t>
            </w:r>
          </w:p>
        </w:tc>
        <w:tc>
          <w:tcPr>
            <w:tcW w:w="997" w:type="pct"/>
            <w:vAlign w:val="center"/>
          </w:tcPr>
          <w:p w14:paraId="5275B0EF" w14:textId="4B02C906" w:rsidR="00424D7B" w:rsidRPr="00424D7B" w:rsidRDefault="00424D7B" w:rsidP="00424D7B">
            <w:pPr>
              <w:pBdr>
                <w:top w:val="nil"/>
                <w:left w:val="nil"/>
                <w:bottom w:val="nil"/>
                <w:right w:val="nil"/>
                <w:between w:val="nil"/>
              </w:pBdr>
              <w:spacing w:line="240" w:lineRule="auto"/>
              <w:ind w:firstLine="34"/>
              <w:jc w:val="center"/>
              <w:rPr>
                <w:rFonts w:eastAsia="Helvetica Neue" w:cs="Arial"/>
                <w:b/>
                <w:color w:val="000000"/>
                <w:sz w:val="18"/>
                <w:szCs w:val="18"/>
              </w:rPr>
            </w:pPr>
            <w:r w:rsidRPr="00424D7B">
              <w:rPr>
                <w:rFonts w:eastAsia="Helvetica Neue" w:cs="Arial"/>
                <w:b/>
                <w:color w:val="000000"/>
                <w:sz w:val="18"/>
                <w:szCs w:val="18"/>
              </w:rPr>
              <w:t>D</w:t>
            </w:r>
            <w:r w:rsidRPr="00424D7B">
              <w:rPr>
                <w:rFonts w:eastAsia="Helvetica Neue" w:cs="Arial"/>
                <w:b/>
                <w:color w:val="000000"/>
                <w:sz w:val="18"/>
                <w:szCs w:val="18"/>
                <w:vertAlign w:val="subscript"/>
              </w:rPr>
              <w:t>p</w:t>
            </w:r>
            <w:r w:rsidRPr="00424D7B">
              <w:rPr>
                <w:rFonts w:eastAsia="Helvetica Neue" w:cs="Arial"/>
                <w:b/>
                <w:color w:val="000000"/>
                <w:sz w:val="18"/>
                <w:szCs w:val="18"/>
              </w:rPr>
              <w:t xml:space="preserve"> (nm)</w:t>
            </w:r>
          </w:p>
        </w:tc>
      </w:tr>
      <w:tr w:rsidR="00424D7B" w14:paraId="58847FCB" w14:textId="2B44F37F" w:rsidTr="00424D7B">
        <w:trPr>
          <w:trHeight w:val="377"/>
          <w:jc w:val="center"/>
        </w:trPr>
        <w:tc>
          <w:tcPr>
            <w:tcW w:w="592" w:type="pct"/>
            <w:tcBorders>
              <w:left w:val="nil"/>
            </w:tcBorders>
            <w:vAlign w:val="center"/>
          </w:tcPr>
          <w:p w14:paraId="6E4E763A" w14:textId="77777777" w:rsidR="00424D7B" w:rsidRPr="001E711E" w:rsidRDefault="00424D7B" w:rsidP="00424D7B">
            <w:pPr>
              <w:pBdr>
                <w:top w:val="nil"/>
                <w:left w:val="nil"/>
                <w:bottom w:val="nil"/>
                <w:right w:val="nil"/>
                <w:between w:val="nil"/>
              </w:pBdr>
              <w:spacing w:line="240" w:lineRule="auto"/>
              <w:ind w:firstLine="34"/>
              <w:jc w:val="center"/>
              <w:rPr>
                <w:rFonts w:eastAsia="Helvetica Neue" w:cs="Arial"/>
                <w:b/>
                <w:color w:val="000000"/>
                <w:sz w:val="18"/>
                <w:szCs w:val="18"/>
              </w:rPr>
            </w:pPr>
            <w:r w:rsidRPr="001E711E">
              <w:rPr>
                <w:rFonts w:eastAsia="Helvetica Neue" w:cs="Arial"/>
                <w:b/>
                <w:color w:val="000000"/>
                <w:sz w:val="18"/>
                <w:szCs w:val="18"/>
              </w:rPr>
              <w:t>C350:</w:t>
            </w:r>
          </w:p>
        </w:tc>
        <w:tc>
          <w:tcPr>
            <w:tcW w:w="877" w:type="pct"/>
            <w:tcBorders>
              <w:right w:val="nil"/>
            </w:tcBorders>
            <w:shd w:val="clear" w:color="auto" w:fill="auto"/>
            <w:vAlign w:val="center"/>
          </w:tcPr>
          <w:p w14:paraId="531A82AF" w14:textId="01ED6DA9" w:rsidR="00424D7B" w:rsidRPr="00D871E1" w:rsidRDefault="00424D7B" w:rsidP="00424D7B">
            <w:pPr>
              <w:pBdr>
                <w:top w:val="nil"/>
                <w:left w:val="nil"/>
                <w:bottom w:val="nil"/>
                <w:right w:val="nil"/>
                <w:between w:val="nil"/>
              </w:pBdr>
              <w:spacing w:line="240" w:lineRule="auto"/>
              <w:ind w:firstLine="34"/>
              <w:jc w:val="center"/>
              <w:rPr>
                <w:rFonts w:eastAsia="Helvetica Neue" w:cs="Arial"/>
                <w:color w:val="000000"/>
                <w:sz w:val="18"/>
                <w:szCs w:val="18"/>
              </w:rPr>
            </w:pPr>
            <w:r>
              <w:rPr>
                <w:rFonts w:eastAsia="Helvetica Neue" w:cs="Arial"/>
                <w:color w:val="000000"/>
                <w:sz w:val="18"/>
                <w:szCs w:val="18"/>
              </w:rPr>
              <w:t>0.042</w:t>
            </w:r>
          </w:p>
        </w:tc>
        <w:tc>
          <w:tcPr>
            <w:tcW w:w="979" w:type="pct"/>
            <w:tcBorders>
              <w:right w:val="dotted" w:sz="4" w:space="0" w:color="auto"/>
            </w:tcBorders>
            <w:vAlign w:val="center"/>
          </w:tcPr>
          <w:p w14:paraId="31569849" w14:textId="439C8D3B" w:rsidR="00424D7B" w:rsidRPr="00424D7B" w:rsidRDefault="00424D7B" w:rsidP="00424D7B">
            <w:pPr>
              <w:pBdr>
                <w:top w:val="nil"/>
                <w:left w:val="nil"/>
                <w:bottom w:val="nil"/>
                <w:right w:val="nil"/>
                <w:between w:val="nil"/>
              </w:pBdr>
              <w:spacing w:line="240" w:lineRule="auto"/>
              <w:ind w:firstLine="34"/>
              <w:jc w:val="center"/>
              <w:rPr>
                <w:rFonts w:eastAsia="Helvetica Neue" w:cs="Arial"/>
                <w:color w:val="000000"/>
                <w:sz w:val="18"/>
                <w:szCs w:val="18"/>
              </w:rPr>
            </w:pPr>
            <w:r w:rsidRPr="00424D7B">
              <w:rPr>
                <w:rFonts w:eastAsia="Helvetica Neue" w:cs="Arial"/>
                <w:color w:val="000000"/>
                <w:sz w:val="18"/>
                <w:szCs w:val="18"/>
              </w:rPr>
              <w:t>0.989</w:t>
            </w:r>
          </w:p>
        </w:tc>
        <w:tc>
          <w:tcPr>
            <w:tcW w:w="688" w:type="pct"/>
            <w:tcBorders>
              <w:left w:val="dotted" w:sz="4" w:space="0" w:color="auto"/>
            </w:tcBorders>
            <w:vAlign w:val="center"/>
          </w:tcPr>
          <w:p w14:paraId="3B1457E7" w14:textId="36172797" w:rsidR="00424D7B" w:rsidRPr="001E711E" w:rsidRDefault="00424D7B" w:rsidP="00424D7B">
            <w:pPr>
              <w:pBdr>
                <w:top w:val="nil"/>
                <w:left w:val="nil"/>
                <w:bottom w:val="nil"/>
                <w:right w:val="nil"/>
                <w:between w:val="nil"/>
              </w:pBdr>
              <w:spacing w:line="240" w:lineRule="auto"/>
              <w:ind w:firstLine="34"/>
              <w:jc w:val="right"/>
              <w:rPr>
                <w:rFonts w:eastAsia="Helvetica Neue" w:cs="Arial"/>
                <w:b/>
                <w:color w:val="000000"/>
                <w:sz w:val="18"/>
                <w:szCs w:val="18"/>
              </w:rPr>
            </w:pPr>
            <w:r w:rsidRPr="001E711E">
              <w:rPr>
                <w:rFonts w:eastAsia="Helvetica Neue" w:cs="Arial"/>
                <w:b/>
                <w:color w:val="000000"/>
                <w:sz w:val="18"/>
                <w:szCs w:val="18"/>
              </w:rPr>
              <w:t>SP350:</w:t>
            </w:r>
          </w:p>
        </w:tc>
        <w:tc>
          <w:tcPr>
            <w:tcW w:w="868" w:type="pct"/>
            <w:vAlign w:val="center"/>
          </w:tcPr>
          <w:p w14:paraId="167D1B14" w14:textId="4FEAA582" w:rsidR="00424D7B" w:rsidRPr="00D871E1" w:rsidRDefault="00424D7B" w:rsidP="00424D7B">
            <w:pPr>
              <w:pBdr>
                <w:top w:val="nil"/>
                <w:left w:val="nil"/>
                <w:bottom w:val="nil"/>
                <w:right w:val="nil"/>
                <w:between w:val="nil"/>
              </w:pBdr>
              <w:spacing w:line="240" w:lineRule="auto"/>
              <w:ind w:firstLine="34"/>
              <w:jc w:val="center"/>
              <w:rPr>
                <w:rFonts w:eastAsia="Helvetica Neue" w:cs="Arial"/>
                <w:color w:val="000000"/>
                <w:sz w:val="18"/>
                <w:szCs w:val="18"/>
              </w:rPr>
            </w:pPr>
            <w:r>
              <w:rPr>
                <w:rFonts w:eastAsia="Helvetica Neue" w:cs="Arial"/>
                <w:color w:val="000000"/>
                <w:sz w:val="18"/>
                <w:szCs w:val="18"/>
              </w:rPr>
              <w:t>0.052</w:t>
            </w:r>
          </w:p>
        </w:tc>
        <w:tc>
          <w:tcPr>
            <w:tcW w:w="997" w:type="pct"/>
            <w:vAlign w:val="center"/>
          </w:tcPr>
          <w:p w14:paraId="0F3E11C0" w14:textId="4C6A2AD1" w:rsidR="00424D7B" w:rsidRDefault="00424D7B" w:rsidP="00424D7B">
            <w:pPr>
              <w:pBdr>
                <w:top w:val="nil"/>
                <w:left w:val="nil"/>
                <w:bottom w:val="nil"/>
                <w:right w:val="nil"/>
                <w:between w:val="nil"/>
              </w:pBdr>
              <w:spacing w:line="240" w:lineRule="auto"/>
              <w:ind w:firstLine="34"/>
              <w:jc w:val="center"/>
              <w:rPr>
                <w:rFonts w:eastAsia="Helvetica Neue" w:cs="Arial"/>
                <w:color w:val="000000"/>
                <w:sz w:val="18"/>
                <w:szCs w:val="18"/>
              </w:rPr>
            </w:pPr>
            <w:r>
              <w:rPr>
                <w:rFonts w:eastAsia="Helvetica Neue" w:cs="Arial"/>
                <w:color w:val="000000"/>
                <w:sz w:val="18"/>
                <w:szCs w:val="18"/>
              </w:rPr>
              <w:t>1.012</w:t>
            </w:r>
          </w:p>
        </w:tc>
      </w:tr>
      <w:tr w:rsidR="00424D7B" w14:paraId="62ACBD26" w14:textId="5B3BB895" w:rsidTr="00424D7B">
        <w:trPr>
          <w:trHeight w:val="411"/>
          <w:jc w:val="center"/>
        </w:trPr>
        <w:tc>
          <w:tcPr>
            <w:tcW w:w="592" w:type="pct"/>
            <w:tcBorders>
              <w:left w:val="nil"/>
            </w:tcBorders>
            <w:vAlign w:val="center"/>
          </w:tcPr>
          <w:p w14:paraId="205A1819" w14:textId="77777777" w:rsidR="00424D7B" w:rsidRPr="001E711E" w:rsidRDefault="00424D7B" w:rsidP="00424D7B">
            <w:pPr>
              <w:pBdr>
                <w:top w:val="nil"/>
                <w:left w:val="nil"/>
                <w:bottom w:val="nil"/>
                <w:right w:val="nil"/>
                <w:between w:val="nil"/>
              </w:pBdr>
              <w:spacing w:line="240" w:lineRule="auto"/>
              <w:ind w:firstLine="34"/>
              <w:jc w:val="center"/>
              <w:rPr>
                <w:rFonts w:eastAsia="Helvetica Neue" w:cs="Arial"/>
                <w:b/>
                <w:color w:val="000000"/>
                <w:sz w:val="18"/>
                <w:szCs w:val="18"/>
              </w:rPr>
            </w:pPr>
            <w:r w:rsidRPr="001E711E">
              <w:rPr>
                <w:rFonts w:eastAsia="Helvetica Neue" w:cs="Arial"/>
                <w:b/>
                <w:color w:val="000000"/>
                <w:sz w:val="18"/>
                <w:szCs w:val="18"/>
              </w:rPr>
              <w:t>C550:</w:t>
            </w:r>
          </w:p>
        </w:tc>
        <w:tc>
          <w:tcPr>
            <w:tcW w:w="877" w:type="pct"/>
            <w:tcBorders>
              <w:right w:val="nil"/>
            </w:tcBorders>
            <w:shd w:val="clear" w:color="auto" w:fill="auto"/>
            <w:vAlign w:val="center"/>
          </w:tcPr>
          <w:p w14:paraId="3B5B49E1" w14:textId="78045AF7" w:rsidR="00424D7B" w:rsidRPr="00D871E1" w:rsidRDefault="00424D7B" w:rsidP="00424D7B">
            <w:pPr>
              <w:pBdr>
                <w:top w:val="nil"/>
                <w:left w:val="nil"/>
                <w:bottom w:val="nil"/>
                <w:right w:val="nil"/>
                <w:between w:val="nil"/>
              </w:pBdr>
              <w:spacing w:line="240" w:lineRule="auto"/>
              <w:ind w:firstLine="34"/>
              <w:jc w:val="center"/>
              <w:rPr>
                <w:rFonts w:eastAsia="Helvetica Neue" w:cs="Arial"/>
                <w:color w:val="000000"/>
                <w:sz w:val="18"/>
                <w:szCs w:val="18"/>
              </w:rPr>
            </w:pPr>
            <w:r>
              <w:rPr>
                <w:rFonts w:eastAsia="Helvetica Neue" w:cs="Arial"/>
                <w:color w:val="000000"/>
                <w:sz w:val="18"/>
                <w:szCs w:val="18"/>
              </w:rPr>
              <w:t>0.108</w:t>
            </w:r>
          </w:p>
        </w:tc>
        <w:tc>
          <w:tcPr>
            <w:tcW w:w="979" w:type="pct"/>
            <w:tcBorders>
              <w:right w:val="dotted" w:sz="4" w:space="0" w:color="auto"/>
            </w:tcBorders>
            <w:vAlign w:val="center"/>
          </w:tcPr>
          <w:p w14:paraId="09C30535" w14:textId="7A3D9D0F" w:rsidR="00424D7B" w:rsidRPr="00424D7B" w:rsidRDefault="00424D7B" w:rsidP="00424D7B">
            <w:pPr>
              <w:pBdr>
                <w:top w:val="nil"/>
                <w:left w:val="nil"/>
                <w:bottom w:val="nil"/>
                <w:right w:val="nil"/>
                <w:between w:val="nil"/>
              </w:pBdr>
              <w:spacing w:line="240" w:lineRule="auto"/>
              <w:ind w:firstLine="34"/>
              <w:jc w:val="center"/>
              <w:rPr>
                <w:rFonts w:eastAsia="Helvetica Neue" w:cs="Arial"/>
                <w:color w:val="000000"/>
                <w:sz w:val="18"/>
                <w:szCs w:val="18"/>
              </w:rPr>
            </w:pPr>
            <w:r>
              <w:rPr>
                <w:rFonts w:eastAsia="Helvetica Neue" w:cs="Arial"/>
                <w:color w:val="000000"/>
                <w:sz w:val="18"/>
                <w:szCs w:val="18"/>
              </w:rPr>
              <w:t>0.759</w:t>
            </w:r>
          </w:p>
        </w:tc>
        <w:tc>
          <w:tcPr>
            <w:tcW w:w="688" w:type="pct"/>
            <w:tcBorders>
              <w:left w:val="dotted" w:sz="4" w:space="0" w:color="auto"/>
            </w:tcBorders>
            <w:vAlign w:val="center"/>
          </w:tcPr>
          <w:p w14:paraId="382E0B90" w14:textId="621CE67C" w:rsidR="00424D7B" w:rsidRPr="001E711E" w:rsidRDefault="00424D7B" w:rsidP="00424D7B">
            <w:pPr>
              <w:pBdr>
                <w:top w:val="nil"/>
                <w:left w:val="nil"/>
                <w:bottom w:val="nil"/>
                <w:right w:val="nil"/>
                <w:between w:val="nil"/>
              </w:pBdr>
              <w:spacing w:line="240" w:lineRule="auto"/>
              <w:ind w:firstLine="34"/>
              <w:jc w:val="right"/>
              <w:rPr>
                <w:rFonts w:eastAsia="Helvetica Neue" w:cs="Arial"/>
                <w:b/>
                <w:color w:val="000000"/>
                <w:sz w:val="18"/>
                <w:szCs w:val="18"/>
              </w:rPr>
            </w:pPr>
            <w:r w:rsidRPr="001E711E">
              <w:rPr>
                <w:rFonts w:eastAsia="Helvetica Neue" w:cs="Arial"/>
                <w:b/>
                <w:color w:val="000000"/>
                <w:sz w:val="18"/>
                <w:szCs w:val="18"/>
              </w:rPr>
              <w:t>SP550:</w:t>
            </w:r>
          </w:p>
        </w:tc>
        <w:tc>
          <w:tcPr>
            <w:tcW w:w="868" w:type="pct"/>
            <w:vAlign w:val="center"/>
          </w:tcPr>
          <w:p w14:paraId="597E7072" w14:textId="43F7C7BD" w:rsidR="00424D7B" w:rsidRPr="00D871E1" w:rsidRDefault="00424D7B" w:rsidP="00424D7B">
            <w:pPr>
              <w:pBdr>
                <w:top w:val="nil"/>
                <w:left w:val="nil"/>
                <w:bottom w:val="nil"/>
                <w:right w:val="nil"/>
                <w:between w:val="nil"/>
              </w:pBdr>
              <w:spacing w:line="240" w:lineRule="auto"/>
              <w:ind w:firstLine="34"/>
              <w:jc w:val="center"/>
              <w:rPr>
                <w:rFonts w:eastAsia="Helvetica Neue" w:cs="Arial"/>
                <w:color w:val="000000"/>
                <w:sz w:val="18"/>
                <w:szCs w:val="18"/>
              </w:rPr>
            </w:pPr>
            <w:r>
              <w:rPr>
                <w:rFonts w:eastAsia="Helvetica Neue" w:cs="Arial"/>
                <w:color w:val="000000"/>
                <w:sz w:val="18"/>
                <w:szCs w:val="18"/>
              </w:rPr>
              <w:t>0.088</w:t>
            </w:r>
          </w:p>
        </w:tc>
        <w:tc>
          <w:tcPr>
            <w:tcW w:w="997" w:type="pct"/>
            <w:vAlign w:val="center"/>
          </w:tcPr>
          <w:p w14:paraId="1D25110F" w14:textId="1FF961DA" w:rsidR="00424D7B" w:rsidRDefault="00424D7B" w:rsidP="00424D7B">
            <w:pPr>
              <w:pBdr>
                <w:top w:val="nil"/>
                <w:left w:val="nil"/>
                <w:bottom w:val="nil"/>
                <w:right w:val="nil"/>
                <w:between w:val="nil"/>
              </w:pBdr>
              <w:spacing w:line="240" w:lineRule="auto"/>
              <w:ind w:firstLine="34"/>
              <w:jc w:val="center"/>
              <w:rPr>
                <w:rFonts w:eastAsia="Helvetica Neue" w:cs="Arial"/>
                <w:color w:val="000000"/>
                <w:sz w:val="18"/>
                <w:szCs w:val="18"/>
              </w:rPr>
            </w:pPr>
            <w:r>
              <w:rPr>
                <w:rFonts w:eastAsia="Helvetica Neue" w:cs="Arial"/>
                <w:color w:val="000000"/>
                <w:sz w:val="18"/>
                <w:szCs w:val="18"/>
              </w:rPr>
              <w:t>0.746</w:t>
            </w:r>
          </w:p>
        </w:tc>
      </w:tr>
      <w:tr w:rsidR="00424D7B" w14:paraId="001840FA" w14:textId="320C39A0" w:rsidTr="00424D7B">
        <w:trPr>
          <w:trHeight w:val="418"/>
          <w:jc w:val="center"/>
        </w:trPr>
        <w:tc>
          <w:tcPr>
            <w:tcW w:w="592" w:type="pct"/>
            <w:tcBorders>
              <w:left w:val="nil"/>
            </w:tcBorders>
            <w:vAlign w:val="center"/>
          </w:tcPr>
          <w:p w14:paraId="12AF67DA" w14:textId="77777777" w:rsidR="00424D7B" w:rsidRPr="001E711E" w:rsidRDefault="00424D7B" w:rsidP="00424D7B">
            <w:pPr>
              <w:pBdr>
                <w:top w:val="nil"/>
                <w:left w:val="nil"/>
                <w:bottom w:val="nil"/>
                <w:right w:val="nil"/>
                <w:between w:val="nil"/>
              </w:pBdr>
              <w:spacing w:line="240" w:lineRule="auto"/>
              <w:ind w:firstLine="34"/>
              <w:jc w:val="center"/>
              <w:rPr>
                <w:rFonts w:eastAsia="Helvetica Neue" w:cs="Arial"/>
                <w:b/>
                <w:color w:val="000000"/>
                <w:sz w:val="18"/>
                <w:szCs w:val="18"/>
              </w:rPr>
            </w:pPr>
            <w:r w:rsidRPr="001E711E">
              <w:rPr>
                <w:rFonts w:eastAsia="Helvetica Neue" w:cs="Arial"/>
                <w:b/>
                <w:color w:val="000000"/>
                <w:sz w:val="18"/>
                <w:szCs w:val="18"/>
              </w:rPr>
              <w:t>C750:</w:t>
            </w:r>
          </w:p>
        </w:tc>
        <w:tc>
          <w:tcPr>
            <w:tcW w:w="877" w:type="pct"/>
            <w:tcBorders>
              <w:right w:val="nil"/>
            </w:tcBorders>
            <w:shd w:val="clear" w:color="auto" w:fill="auto"/>
            <w:vAlign w:val="center"/>
          </w:tcPr>
          <w:p w14:paraId="6E2FE338" w14:textId="42342055" w:rsidR="00424D7B" w:rsidRPr="00D871E1" w:rsidRDefault="00424D7B" w:rsidP="00424D7B">
            <w:pPr>
              <w:pBdr>
                <w:top w:val="nil"/>
                <w:left w:val="nil"/>
                <w:bottom w:val="nil"/>
                <w:right w:val="nil"/>
                <w:between w:val="nil"/>
              </w:pBdr>
              <w:spacing w:line="240" w:lineRule="auto"/>
              <w:ind w:firstLine="34"/>
              <w:jc w:val="center"/>
              <w:rPr>
                <w:rFonts w:eastAsia="Helvetica Neue" w:cs="Arial"/>
                <w:color w:val="000000"/>
                <w:sz w:val="18"/>
                <w:szCs w:val="18"/>
              </w:rPr>
            </w:pPr>
            <w:r>
              <w:rPr>
                <w:rFonts w:eastAsia="Helvetica Neue" w:cs="Arial"/>
                <w:color w:val="000000"/>
                <w:sz w:val="18"/>
                <w:szCs w:val="18"/>
              </w:rPr>
              <w:t>0.083</w:t>
            </w:r>
          </w:p>
        </w:tc>
        <w:tc>
          <w:tcPr>
            <w:tcW w:w="979" w:type="pct"/>
            <w:tcBorders>
              <w:right w:val="dotted" w:sz="4" w:space="0" w:color="auto"/>
            </w:tcBorders>
            <w:vAlign w:val="center"/>
          </w:tcPr>
          <w:p w14:paraId="61859BF7" w14:textId="6F11D9EE" w:rsidR="00424D7B" w:rsidRPr="00424D7B" w:rsidRDefault="00424D7B" w:rsidP="00424D7B">
            <w:pPr>
              <w:pBdr>
                <w:top w:val="nil"/>
                <w:left w:val="nil"/>
                <w:bottom w:val="nil"/>
                <w:right w:val="nil"/>
                <w:between w:val="nil"/>
              </w:pBdr>
              <w:spacing w:line="240" w:lineRule="auto"/>
              <w:ind w:firstLine="34"/>
              <w:jc w:val="center"/>
              <w:rPr>
                <w:rFonts w:eastAsia="Helvetica Neue" w:cs="Arial"/>
                <w:color w:val="000000"/>
                <w:sz w:val="18"/>
                <w:szCs w:val="18"/>
              </w:rPr>
            </w:pPr>
            <w:r>
              <w:rPr>
                <w:rFonts w:eastAsia="Helvetica Neue" w:cs="Arial"/>
                <w:color w:val="000000"/>
                <w:sz w:val="18"/>
                <w:szCs w:val="18"/>
              </w:rPr>
              <w:t>0.713</w:t>
            </w:r>
          </w:p>
        </w:tc>
        <w:tc>
          <w:tcPr>
            <w:tcW w:w="688" w:type="pct"/>
            <w:tcBorders>
              <w:left w:val="dotted" w:sz="4" w:space="0" w:color="auto"/>
            </w:tcBorders>
            <w:vAlign w:val="center"/>
          </w:tcPr>
          <w:p w14:paraId="3E2CD10E" w14:textId="19AB73C9" w:rsidR="00424D7B" w:rsidRPr="001E711E" w:rsidRDefault="00424D7B" w:rsidP="00424D7B">
            <w:pPr>
              <w:pBdr>
                <w:top w:val="nil"/>
                <w:left w:val="nil"/>
                <w:bottom w:val="nil"/>
                <w:right w:val="nil"/>
                <w:between w:val="nil"/>
              </w:pBdr>
              <w:spacing w:line="240" w:lineRule="auto"/>
              <w:ind w:firstLine="34"/>
              <w:jc w:val="right"/>
              <w:rPr>
                <w:rFonts w:eastAsia="Helvetica Neue" w:cs="Arial"/>
                <w:b/>
                <w:color w:val="000000"/>
                <w:sz w:val="18"/>
                <w:szCs w:val="18"/>
              </w:rPr>
            </w:pPr>
            <w:r w:rsidRPr="001E711E">
              <w:rPr>
                <w:rFonts w:eastAsia="Helvetica Neue" w:cs="Arial"/>
                <w:b/>
                <w:color w:val="000000"/>
                <w:sz w:val="18"/>
                <w:szCs w:val="18"/>
              </w:rPr>
              <w:t>SP750:</w:t>
            </w:r>
          </w:p>
        </w:tc>
        <w:tc>
          <w:tcPr>
            <w:tcW w:w="868" w:type="pct"/>
            <w:vAlign w:val="center"/>
          </w:tcPr>
          <w:p w14:paraId="585CEDB6" w14:textId="7FF3B610" w:rsidR="00424D7B" w:rsidRPr="00D871E1" w:rsidRDefault="00424D7B" w:rsidP="00424D7B">
            <w:pPr>
              <w:pBdr>
                <w:top w:val="nil"/>
                <w:left w:val="nil"/>
                <w:bottom w:val="nil"/>
                <w:right w:val="nil"/>
                <w:between w:val="nil"/>
              </w:pBdr>
              <w:spacing w:line="240" w:lineRule="auto"/>
              <w:ind w:firstLine="34"/>
              <w:jc w:val="center"/>
              <w:rPr>
                <w:rFonts w:eastAsia="Helvetica Neue" w:cs="Arial"/>
                <w:color w:val="000000"/>
                <w:sz w:val="18"/>
                <w:szCs w:val="18"/>
              </w:rPr>
            </w:pPr>
            <w:r>
              <w:rPr>
                <w:rFonts w:eastAsia="Helvetica Neue" w:cs="Arial"/>
                <w:color w:val="000000"/>
                <w:sz w:val="18"/>
                <w:szCs w:val="18"/>
              </w:rPr>
              <w:t>0.052</w:t>
            </w:r>
          </w:p>
        </w:tc>
        <w:tc>
          <w:tcPr>
            <w:tcW w:w="997" w:type="pct"/>
            <w:vAlign w:val="center"/>
          </w:tcPr>
          <w:p w14:paraId="1A0B8C6A" w14:textId="5235AB26" w:rsidR="00424D7B" w:rsidRDefault="00424D7B" w:rsidP="00424D7B">
            <w:pPr>
              <w:pBdr>
                <w:top w:val="nil"/>
                <w:left w:val="nil"/>
                <w:bottom w:val="nil"/>
                <w:right w:val="nil"/>
                <w:between w:val="nil"/>
              </w:pBdr>
              <w:spacing w:line="240" w:lineRule="auto"/>
              <w:ind w:firstLine="34"/>
              <w:jc w:val="center"/>
              <w:rPr>
                <w:rFonts w:eastAsia="Helvetica Neue" w:cs="Arial"/>
                <w:color w:val="000000"/>
                <w:sz w:val="18"/>
                <w:szCs w:val="18"/>
              </w:rPr>
            </w:pPr>
            <w:r>
              <w:rPr>
                <w:rFonts w:eastAsia="Helvetica Neue" w:cs="Arial"/>
                <w:color w:val="000000"/>
                <w:sz w:val="18"/>
                <w:szCs w:val="18"/>
              </w:rPr>
              <w:t>0.724</w:t>
            </w:r>
          </w:p>
        </w:tc>
      </w:tr>
    </w:tbl>
    <w:p w14:paraId="35BD71CF" w14:textId="77777777" w:rsidR="005D1A18" w:rsidRDefault="005D1A18" w:rsidP="005D1A18"/>
    <w:p w14:paraId="641AE301" w14:textId="53606EFC" w:rsidR="001E711E" w:rsidRDefault="005D1A18" w:rsidP="005D1A18">
      <w:r>
        <w:t>Therefore, according to these results, bio</w:t>
      </w:r>
      <w:r w:rsidRPr="00E248FE">
        <w:t>chars obtained from biomass wastes</w:t>
      </w:r>
      <w:r w:rsidR="001E711E">
        <w:t xml:space="preserve"> </w:t>
      </w:r>
      <w:r w:rsidRPr="00E248FE">
        <w:t>rich in proteins could be appropriate for the adsorption of small gas molecules but not for the larger one</w:t>
      </w:r>
      <w:r>
        <w:t>s</w:t>
      </w:r>
      <w:r w:rsidRPr="00E248FE">
        <w:t xml:space="preserve"> because of the molecular size exclusion.</w:t>
      </w:r>
      <w:r w:rsidR="001E711E">
        <w:t xml:space="preserve"> </w:t>
      </w:r>
    </w:p>
    <w:p w14:paraId="768386A2" w14:textId="358E8EBE" w:rsidR="001E711E" w:rsidRDefault="001E711E" w:rsidP="00071B35">
      <w:pPr>
        <w:spacing w:before="360" w:after="180"/>
        <w:ind w:firstLine="0"/>
        <w:rPr>
          <w:b/>
          <w:sz w:val="22"/>
        </w:rPr>
      </w:pPr>
      <w:r w:rsidRPr="001E711E">
        <w:rPr>
          <w:b/>
          <w:sz w:val="22"/>
        </w:rPr>
        <w:t xml:space="preserve">3.3. Regeneration </w:t>
      </w:r>
      <w:r w:rsidR="00071B35">
        <w:rPr>
          <w:b/>
          <w:sz w:val="22"/>
        </w:rPr>
        <w:t xml:space="preserve">of char </w:t>
      </w:r>
      <w:r w:rsidRPr="001E711E">
        <w:rPr>
          <w:b/>
          <w:sz w:val="22"/>
        </w:rPr>
        <w:t>after CO</w:t>
      </w:r>
      <w:r w:rsidRPr="001E711E">
        <w:rPr>
          <w:b/>
          <w:sz w:val="22"/>
          <w:vertAlign w:val="subscript"/>
        </w:rPr>
        <w:t>2</w:t>
      </w:r>
      <w:r w:rsidRPr="001E711E">
        <w:rPr>
          <w:b/>
          <w:sz w:val="22"/>
        </w:rPr>
        <w:t xml:space="preserve"> adsorption</w:t>
      </w:r>
    </w:p>
    <w:p w14:paraId="0C319390" w14:textId="647D057F" w:rsidR="00B57255" w:rsidRPr="006E2492" w:rsidRDefault="00B57255" w:rsidP="00B57255">
      <w:pPr>
        <w:rPr>
          <w:lang w:val="en-US"/>
        </w:rPr>
      </w:pPr>
      <w:r>
        <w:rPr>
          <w:lang w:val="en-US"/>
        </w:rPr>
        <w:t>Three adsorption-desorption cycles were measure</w:t>
      </w:r>
      <w:r>
        <w:rPr>
          <w:lang w:val="en-US"/>
        </w:rPr>
        <w:t>d</w:t>
      </w:r>
      <w:r>
        <w:rPr>
          <w:lang w:val="en-US"/>
        </w:rPr>
        <w:t xml:space="preserve"> and r</w:t>
      </w:r>
      <w:r w:rsidRPr="006E2492">
        <w:rPr>
          <w:lang w:val="en-US"/>
        </w:rPr>
        <w:t xml:space="preserve">egeneration </w:t>
      </w:r>
      <w:r>
        <w:rPr>
          <w:lang w:val="en-US"/>
        </w:rPr>
        <w:t xml:space="preserve">tests were conducted after each cycle </w:t>
      </w:r>
      <w:r w:rsidRPr="006E2492">
        <w:rPr>
          <w:lang w:val="en-US"/>
        </w:rPr>
        <w:t xml:space="preserve">by heating the adsorbent </w:t>
      </w:r>
      <w:r>
        <w:rPr>
          <w:lang w:val="en-US"/>
        </w:rPr>
        <w:t xml:space="preserve">up to </w:t>
      </w:r>
      <w:r w:rsidRPr="006E2492">
        <w:rPr>
          <w:lang w:val="en-US"/>
        </w:rPr>
        <w:t>1</w:t>
      </w:r>
      <w:r>
        <w:rPr>
          <w:lang w:val="en-US"/>
        </w:rPr>
        <w:t>5</w:t>
      </w:r>
      <w:r w:rsidRPr="006E2492">
        <w:rPr>
          <w:lang w:val="en-US"/>
        </w:rPr>
        <w:t xml:space="preserve">0 °C under </w:t>
      </w:r>
      <w:r>
        <w:rPr>
          <w:lang w:val="en-US"/>
        </w:rPr>
        <w:t>N</w:t>
      </w:r>
      <w:r w:rsidRPr="00F52F4E">
        <w:rPr>
          <w:vertAlign w:val="subscript"/>
          <w:lang w:val="en-US"/>
        </w:rPr>
        <w:t>2</w:t>
      </w:r>
      <w:r w:rsidRPr="006E2492">
        <w:rPr>
          <w:lang w:val="en-US"/>
        </w:rPr>
        <w:t xml:space="preserve"> gas flow. </w:t>
      </w:r>
      <w:r>
        <w:rPr>
          <w:lang w:val="en-US"/>
        </w:rPr>
        <w:t>Once cooled to 25 ºC, t</w:t>
      </w:r>
      <w:r w:rsidRPr="006E2492">
        <w:rPr>
          <w:lang w:val="en-US"/>
        </w:rPr>
        <w:t>he adsorbent</w:t>
      </w:r>
      <w:r>
        <w:rPr>
          <w:lang w:val="en-US"/>
        </w:rPr>
        <w:t xml:space="preserve"> </w:t>
      </w:r>
      <w:r w:rsidRPr="006E2492">
        <w:rPr>
          <w:lang w:val="en-US"/>
        </w:rPr>
        <w:t xml:space="preserve">after regeneration was reused </w:t>
      </w:r>
      <w:r>
        <w:rPr>
          <w:lang w:val="en-US"/>
        </w:rPr>
        <w:t>for</w:t>
      </w:r>
      <w:r w:rsidRPr="006E2492">
        <w:rPr>
          <w:lang w:val="en-US"/>
        </w:rPr>
        <w:t xml:space="preserve"> CO</w:t>
      </w:r>
      <w:r w:rsidRPr="00C93FC4">
        <w:rPr>
          <w:vertAlign w:val="subscript"/>
          <w:lang w:val="en-US"/>
        </w:rPr>
        <w:t>2</w:t>
      </w:r>
      <w:r w:rsidRPr="006E2492">
        <w:rPr>
          <w:lang w:val="en-US"/>
        </w:rPr>
        <w:t xml:space="preserve"> </w:t>
      </w:r>
      <w:r>
        <w:rPr>
          <w:lang w:val="en-US"/>
        </w:rPr>
        <w:t>tests in the next cycle</w:t>
      </w:r>
      <w:r w:rsidRPr="006E2492">
        <w:rPr>
          <w:lang w:val="en-US"/>
        </w:rPr>
        <w:t>.</w:t>
      </w:r>
      <w:r>
        <w:rPr>
          <w:lang w:val="en-US"/>
        </w:rPr>
        <w:t xml:space="preserve"> Figure 4 summarizes CO</w:t>
      </w:r>
      <w:r w:rsidRPr="00C93FC4">
        <w:rPr>
          <w:vertAlign w:val="subscript"/>
          <w:lang w:val="en-US"/>
        </w:rPr>
        <w:t>2</w:t>
      </w:r>
      <w:r>
        <w:rPr>
          <w:lang w:val="en-US"/>
        </w:rPr>
        <w:t xml:space="preserve"> uptake results for chars for the first, second and third</w:t>
      </w:r>
      <w:r w:rsidRPr="006E2492">
        <w:rPr>
          <w:lang w:val="en-US"/>
        </w:rPr>
        <w:t xml:space="preserve"> cycle of adsorpt</w:t>
      </w:r>
      <w:r>
        <w:rPr>
          <w:lang w:val="en-US"/>
        </w:rPr>
        <w:t>ion-regeneration. Quite similar results are observed, especially in cycles #2 and #3, which points to a reversible CO</w:t>
      </w:r>
      <w:r w:rsidRPr="00071B35">
        <w:rPr>
          <w:vertAlign w:val="subscript"/>
          <w:lang w:val="en-US"/>
        </w:rPr>
        <w:t>2</w:t>
      </w:r>
      <w:r>
        <w:rPr>
          <w:lang w:val="en-US"/>
        </w:rPr>
        <w:t xml:space="preserve"> adsorption process.</w:t>
      </w:r>
    </w:p>
    <w:p w14:paraId="0BA87452" w14:textId="1A33596D" w:rsidR="001E711E" w:rsidRPr="001E711E" w:rsidRDefault="001E711E" w:rsidP="001E711E">
      <w:pPr>
        <w:pBdr>
          <w:top w:val="nil"/>
          <w:left w:val="nil"/>
          <w:bottom w:val="nil"/>
          <w:right w:val="nil"/>
          <w:between w:val="nil"/>
        </w:pBdr>
        <w:spacing w:before="360" w:after="120" w:line="240" w:lineRule="auto"/>
        <w:ind w:left="993" w:right="0" w:hanging="993"/>
        <w:rPr>
          <w:color w:val="000000"/>
          <w:sz w:val="18"/>
          <w:szCs w:val="18"/>
        </w:rPr>
      </w:pPr>
      <w:r>
        <w:rPr>
          <w:color w:val="000000"/>
          <w:sz w:val="18"/>
          <w:szCs w:val="18"/>
        </w:rPr>
        <w:t>Table 4.</w:t>
      </w:r>
      <w:r w:rsidRPr="001E711E">
        <w:rPr>
          <w:color w:val="000000"/>
          <w:sz w:val="18"/>
          <w:szCs w:val="18"/>
        </w:rPr>
        <w:t xml:space="preserve"> Cyclic adsorption-desorption behaviour of char samples (mg CO</w:t>
      </w:r>
      <w:r w:rsidRPr="001E711E">
        <w:rPr>
          <w:color w:val="000000"/>
          <w:sz w:val="18"/>
          <w:szCs w:val="18"/>
          <w:vertAlign w:val="subscript"/>
        </w:rPr>
        <w:t>2</w:t>
      </w:r>
      <w:r w:rsidRPr="001E711E">
        <w:rPr>
          <w:color w:val="000000"/>
          <w:sz w:val="18"/>
          <w:szCs w:val="18"/>
        </w:rPr>
        <w:t>/g char).</w:t>
      </w:r>
    </w:p>
    <w:tbl>
      <w:tblPr>
        <w:tblStyle w:val="Tablaconcuadrcula"/>
        <w:tblW w:w="0" w:type="auto"/>
        <w:jc w:val="center"/>
        <w:tblLook w:val="04A0" w:firstRow="1" w:lastRow="0" w:firstColumn="1" w:lastColumn="0" w:noHBand="0" w:noVBand="1"/>
      </w:tblPr>
      <w:tblGrid>
        <w:gridCol w:w="1673"/>
        <w:gridCol w:w="1791"/>
        <w:gridCol w:w="1791"/>
        <w:gridCol w:w="1791"/>
      </w:tblGrid>
      <w:tr w:rsidR="001E711E" w:rsidRPr="001E711E" w14:paraId="2B6B3E21" w14:textId="77777777" w:rsidTr="001E711E">
        <w:trPr>
          <w:jc w:val="center"/>
        </w:trPr>
        <w:tc>
          <w:tcPr>
            <w:tcW w:w="1673" w:type="dxa"/>
            <w:tcBorders>
              <w:left w:val="nil"/>
              <w:right w:val="nil"/>
            </w:tcBorders>
          </w:tcPr>
          <w:p w14:paraId="5ED9A1C3" w14:textId="77777777" w:rsidR="001E711E" w:rsidRPr="001E711E" w:rsidRDefault="001E711E" w:rsidP="001E711E">
            <w:pPr>
              <w:rPr>
                <w:rFonts w:cs="Arial"/>
                <w:sz w:val="18"/>
                <w:szCs w:val="18"/>
                <w:lang w:val="en-US"/>
              </w:rPr>
            </w:pPr>
          </w:p>
        </w:tc>
        <w:tc>
          <w:tcPr>
            <w:tcW w:w="1791" w:type="dxa"/>
            <w:tcBorders>
              <w:left w:val="nil"/>
              <w:right w:val="nil"/>
            </w:tcBorders>
          </w:tcPr>
          <w:p w14:paraId="5E1F912D" w14:textId="77777777" w:rsidR="001E711E" w:rsidRPr="001E711E" w:rsidRDefault="001E711E" w:rsidP="001E711E">
            <w:pPr>
              <w:jc w:val="center"/>
              <w:rPr>
                <w:rFonts w:cs="Arial"/>
                <w:b/>
                <w:sz w:val="18"/>
                <w:szCs w:val="18"/>
                <w:lang w:val="en-US"/>
              </w:rPr>
            </w:pPr>
            <w:r w:rsidRPr="001E711E">
              <w:rPr>
                <w:rFonts w:cs="Arial"/>
                <w:b/>
                <w:sz w:val="18"/>
                <w:szCs w:val="18"/>
                <w:lang w:val="en-US"/>
              </w:rPr>
              <w:t>Cycle #1</w:t>
            </w:r>
          </w:p>
        </w:tc>
        <w:tc>
          <w:tcPr>
            <w:tcW w:w="1791" w:type="dxa"/>
            <w:tcBorders>
              <w:left w:val="nil"/>
              <w:right w:val="nil"/>
            </w:tcBorders>
          </w:tcPr>
          <w:p w14:paraId="7C11554B" w14:textId="77777777" w:rsidR="001E711E" w:rsidRPr="001E711E" w:rsidRDefault="001E711E" w:rsidP="001E711E">
            <w:pPr>
              <w:jc w:val="center"/>
              <w:rPr>
                <w:rFonts w:cs="Arial"/>
                <w:b/>
                <w:sz w:val="18"/>
                <w:szCs w:val="18"/>
                <w:lang w:val="en-US"/>
              </w:rPr>
            </w:pPr>
            <w:r w:rsidRPr="001E711E">
              <w:rPr>
                <w:rFonts w:cs="Arial"/>
                <w:b/>
                <w:sz w:val="18"/>
                <w:szCs w:val="18"/>
                <w:lang w:val="en-US"/>
              </w:rPr>
              <w:t>Cycle #2</w:t>
            </w:r>
          </w:p>
        </w:tc>
        <w:tc>
          <w:tcPr>
            <w:tcW w:w="1791" w:type="dxa"/>
            <w:tcBorders>
              <w:left w:val="nil"/>
              <w:right w:val="nil"/>
            </w:tcBorders>
          </w:tcPr>
          <w:p w14:paraId="4002184E" w14:textId="77777777" w:rsidR="001E711E" w:rsidRPr="001E711E" w:rsidRDefault="001E711E" w:rsidP="001E711E">
            <w:pPr>
              <w:jc w:val="center"/>
              <w:rPr>
                <w:rFonts w:cs="Arial"/>
                <w:b/>
                <w:sz w:val="18"/>
                <w:szCs w:val="18"/>
                <w:lang w:val="en-US"/>
              </w:rPr>
            </w:pPr>
            <w:r w:rsidRPr="001E711E">
              <w:rPr>
                <w:rFonts w:cs="Arial"/>
                <w:b/>
                <w:sz w:val="18"/>
                <w:szCs w:val="18"/>
                <w:lang w:val="en-US"/>
              </w:rPr>
              <w:t>Cycle #3</w:t>
            </w:r>
          </w:p>
        </w:tc>
      </w:tr>
      <w:tr w:rsidR="001E711E" w:rsidRPr="001E711E" w14:paraId="764527CA" w14:textId="77777777" w:rsidTr="001E711E">
        <w:trPr>
          <w:jc w:val="center"/>
        </w:trPr>
        <w:tc>
          <w:tcPr>
            <w:tcW w:w="1673" w:type="dxa"/>
            <w:tcBorders>
              <w:left w:val="nil"/>
              <w:bottom w:val="nil"/>
              <w:right w:val="nil"/>
            </w:tcBorders>
          </w:tcPr>
          <w:p w14:paraId="4C3B5101" w14:textId="77777777" w:rsidR="001E711E" w:rsidRPr="001E711E" w:rsidRDefault="001E711E" w:rsidP="001E711E">
            <w:pPr>
              <w:rPr>
                <w:rFonts w:cs="Arial"/>
                <w:b/>
                <w:sz w:val="18"/>
                <w:szCs w:val="18"/>
                <w:lang w:val="en-US"/>
              </w:rPr>
            </w:pPr>
            <w:r w:rsidRPr="001E711E">
              <w:rPr>
                <w:rFonts w:cs="Arial"/>
                <w:b/>
                <w:sz w:val="18"/>
                <w:szCs w:val="18"/>
                <w:lang w:val="en-US"/>
              </w:rPr>
              <w:t>S350</w:t>
            </w:r>
          </w:p>
        </w:tc>
        <w:tc>
          <w:tcPr>
            <w:tcW w:w="1791" w:type="dxa"/>
            <w:tcBorders>
              <w:left w:val="nil"/>
              <w:bottom w:val="nil"/>
              <w:right w:val="nil"/>
            </w:tcBorders>
          </w:tcPr>
          <w:p w14:paraId="1A9F651D" w14:textId="77777777" w:rsidR="001E711E" w:rsidRPr="001E711E" w:rsidRDefault="001E711E" w:rsidP="001E711E">
            <w:pPr>
              <w:jc w:val="center"/>
              <w:rPr>
                <w:rFonts w:cs="Arial"/>
                <w:sz w:val="18"/>
                <w:szCs w:val="18"/>
                <w:lang w:val="en-US"/>
              </w:rPr>
            </w:pPr>
            <w:r w:rsidRPr="001E711E">
              <w:rPr>
                <w:rFonts w:cs="Arial"/>
                <w:sz w:val="18"/>
                <w:szCs w:val="18"/>
                <w:lang w:val="en-US"/>
              </w:rPr>
              <w:t>9.5</w:t>
            </w:r>
          </w:p>
        </w:tc>
        <w:tc>
          <w:tcPr>
            <w:tcW w:w="1791" w:type="dxa"/>
            <w:tcBorders>
              <w:left w:val="nil"/>
              <w:bottom w:val="nil"/>
              <w:right w:val="nil"/>
            </w:tcBorders>
          </w:tcPr>
          <w:p w14:paraId="6FF6C387" w14:textId="77777777" w:rsidR="001E711E" w:rsidRPr="001E711E" w:rsidRDefault="001E711E" w:rsidP="001E711E">
            <w:pPr>
              <w:jc w:val="center"/>
              <w:rPr>
                <w:rFonts w:cs="Arial"/>
                <w:sz w:val="18"/>
                <w:szCs w:val="18"/>
                <w:lang w:val="en-US"/>
              </w:rPr>
            </w:pPr>
            <w:r w:rsidRPr="001E711E">
              <w:rPr>
                <w:rFonts w:cs="Arial"/>
                <w:sz w:val="18"/>
                <w:szCs w:val="18"/>
                <w:lang w:val="en-US"/>
              </w:rPr>
              <w:t>9.2</w:t>
            </w:r>
          </w:p>
        </w:tc>
        <w:tc>
          <w:tcPr>
            <w:tcW w:w="1791" w:type="dxa"/>
            <w:tcBorders>
              <w:left w:val="nil"/>
              <w:bottom w:val="nil"/>
              <w:right w:val="nil"/>
            </w:tcBorders>
          </w:tcPr>
          <w:p w14:paraId="68B80282" w14:textId="77777777" w:rsidR="001E711E" w:rsidRPr="001E711E" w:rsidRDefault="001E711E" w:rsidP="001E711E">
            <w:pPr>
              <w:jc w:val="center"/>
              <w:rPr>
                <w:rFonts w:cs="Arial"/>
                <w:sz w:val="18"/>
                <w:szCs w:val="18"/>
                <w:lang w:val="en-US"/>
              </w:rPr>
            </w:pPr>
            <w:r w:rsidRPr="001E711E">
              <w:rPr>
                <w:rFonts w:cs="Arial"/>
                <w:sz w:val="18"/>
                <w:szCs w:val="18"/>
                <w:lang w:val="en-US"/>
              </w:rPr>
              <w:t>9.0</w:t>
            </w:r>
          </w:p>
        </w:tc>
      </w:tr>
      <w:tr w:rsidR="001E711E" w:rsidRPr="001E711E" w14:paraId="74BBA2DE" w14:textId="77777777" w:rsidTr="001E711E">
        <w:trPr>
          <w:jc w:val="center"/>
        </w:trPr>
        <w:tc>
          <w:tcPr>
            <w:tcW w:w="1673" w:type="dxa"/>
            <w:tcBorders>
              <w:top w:val="nil"/>
              <w:left w:val="nil"/>
              <w:bottom w:val="nil"/>
              <w:right w:val="nil"/>
            </w:tcBorders>
          </w:tcPr>
          <w:p w14:paraId="5614662B" w14:textId="77777777" w:rsidR="001E711E" w:rsidRPr="001E711E" w:rsidRDefault="001E711E" w:rsidP="001E711E">
            <w:pPr>
              <w:rPr>
                <w:rFonts w:cs="Arial"/>
                <w:b/>
                <w:sz w:val="18"/>
                <w:szCs w:val="18"/>
                <w:lang w:val="en-US"/>
              </w:rPr>
            </w:pPr>
            <w:r w:rsidRPr="001E711E">
              <w:rPr>
                <w:rFonts w:cs="Arial"/>
                <w:b/>
                <w:sz w:val="18"/>
                <w:szCs w:val="18"/>
                <w:lang w:val="en-US"/>
              </w:rPr>
              <w:t>S550</w:t>
            </w:r>
          </w:p>
        </w:tc>
        <w:tc>
          <w:tcPr>
            <w:tcW w:w="1791" w:type="dxa"/>
            <w:tcBorders>
              <w:top w:val="nil"/>
              <w:left w:val="nil"/>
              <w:bottom w:val="nil"/>
              <w:right w:val="nil"/>
            </w:tcBorders>
          </w:tcPr>
          <w:p w14:paraId="67A06E23" w14:textId="77777777" w:rsidR="001E711E" w:rsidRPr="001E711E" w:rsidRDefault="001E711E" w:rsidP="001E711E">
            <w:pPr>
              <w:jc w:val="center"/>
              <w:rPr>
                <w:rFonts w:cs="Arial"/>
                <w:sz w:val="18"/>
                <w:szCs w:val="18"/>
                <w:lang w:val="en-US"/>
              </w:rPr>
            </w:pPr>
            <w:r w:rsidRPr="001E711E">
              <w:rPr>
                <w:rFonts w:cs="Arial"/>
                <w:sz w:val="18"/>
                <w:szCs w:val="18"/>
                <w:lang w:val="en-US"/>
              </w:rPr>
              <w:t>29.0</w:t>
            </w:r>
          </w:p>
        </w:tc>
        <w:tc>
          <w:tcPr>
            <w:tcW w:w="1791" w:type="dxa"/>
            <w:tcBorders>
              <w:top w:val="nil"/>
              <w:left w:val="nil"/>
              <w:bottom w:val="nil"/>
              <w:right w:val="nil"/>
            </w:tcBorders>
          </w:tcPr>
          <w:p w14:paraId="10AE31D9" w14:textId="77777777" w:rsidR="001E711E" w:rsidRPr="001E711E" w:rsidRDefault="001E711E" w:rsidP="001E711E">
            <w:pPr>
              <w:jc w:val="center"/>
              <w:rPr>
                <w:rFonts w:cs="Arial"/>
                <w:sz w:val="18"/>
                <w:szCs w:val="18"/>
                <w:lang w:val="en-US"/>
              </w:rPr>
            </w:pPr>
            <w:r w:rsidRPr="001E711E">
              <w:rPr>
                <w:rFonts w:cs="Arial"/>
                <w:sz w:val="18"/>
                <w:szCs w:val="18"/>
                <w:lang w:val="en-US"/>
              </w:rPr>
              <w:t>27.8</w:t>
            </w:r>
          </w:p>
        </w:tc>
        <w:tc>
          <w:tcPr>
            <w:tcW w:w="1791" w:type="dxa"/>
            <w:tcBorders>
              <w:top w:val="nil"/>
              <w:left w:val="nil"/>
              <w:bottom w:val="nil"/>
              <w:right w:val="nil"/>
            </w:tcBorders>
          </w:tcPr>
          <w:p w14:paraId="05BB1259" w14:textId="77777777" w:rsidR="001E711E" w:rsidRPr="001E711E" w:rsidRDefault="001E711E" w:rsidP="001E711E">
            <w:pPr>
              <w:jc w:val="center"/>
              <w:rPr>
                <w:rFonts w:cs="Arial"/>
                <w:sz w:val="18"/>
                <w:szCs w:val="18"/>
                <w:lang w:val="en-US"/>
              </w:rPr>
            </w:pPr>
            <w:r w:rsidRPr="001E711E">
              <w:rPr>
                <w:rFonts w:cs="Arial"/>
                <w:sz w:val="18"/>
                <w:szCs w:val="18"/>
                <w:lang w:val="en-US"/>
              </w:rPr>
              <w:t>28.1</w:t>
            </w:r>
          </w:p>
        </w:tc>
      </w:tr>
      <w:tr w:rsidR="001E711E" w:rsidRPr="001E711E" w14:paraId="10D8A80B" w14:textId="77777777" w:rsidTr="001E711E">
        <w:trPr>
          <w:jc w:val="center"/>
        </w:trPr>
        <w:tc>
          <w:tcPr>
            <w:tcW w:w="1673" w:type="dxa"/>
            <w:tcBorders>
              <w:top w:val="nil"/>
              <w:left w:val="nil"/>
              <w:right w:val="nil"/>
            </w:tcBorders>
          </w:tcPr>
          <w:p w14:paraId="5D6403E0" w14:textId="77777777" w:rsidR="001E711E" w:rsidRPr="001E711E" w:rsidRDefault="001E711E" w:rsidP="001E711E">
            <w:pPr>
              <w:rPr>
                <w:rFonts w:cs="Arial"/>
                <w:b/>
                <w:sz w:val="18"/>
                <w:szCs w:val="18"/>
                <w:lang w:val="en-US"/>
              </w:rPr>
            </w:pPr>
            <w:r w:rsidRPr="001E711E">
              <w:rPr>
                <w:rFonts w:cs="Arial"/>
                <w:b/>
                <w:sz w:val="18"/>
                <w:szCs w:val="18"/>
                <w:lang w:val="en-US"/>
              </w:rPr>
              <w:t>S750</w:t>
            </w:r>
          </w:p>
        </w:tc>
        <w:tc>
          <w:tcPr>
            <w:tcW w:w="1791" w:type="dxa"/>
            <w:tcBorders>
              <w:top w:val="nil"/>
              <w:left w:val="nil"/>
              <w:right w:val="nil"/>
            </w:tcBorders>
          </w:tcPr>
          <w:p w14:paraId="60F5917F" w14:textId="77777777" w:rsidR="001E711E" w:rsidRPr="001E711E" w:rsidRDefault="001E711E" w:rsidP="001E711E">
            <w:pPr>
              <w:jc w:val="center"/>
              <w:rPr>
                <w:rFonts w:cs="Arial"/>
                <w:sz w:val="18"/>
                <w:szCs w:val="18"/>
                <w:lang w:val="en-US"/>
              </w:rPr>
            </w:pPr>
            <w:r w:rsidRPr="001E711E">
              <w:rPr>
                <w:rFonts w:cs="Arial"/>
                <w:sz w:val="18"/>
                <w:szCs w:val="18"/>
                <w:lang w:val="en-US"/>
              </w:rPr>
              <w:t>38.0</w:t>
            </w:r>
          </w:p>
        </w:tc>
        <w:tc>
          <w:tcPr>
            <w:tcW w:w="1791" w:type="dxa"/>
            <w:tcBorders>
              <w:top w:val="nil"/>
              <w:left w:val="nil"/>
              <w:right w:val="nil"/>
            </w:tcBorders>
          </w:tcPr>
          <w:p w14:paraId="47DBAF45" w14:textId="77777777" w:rsidR="001E711E" w:rsidRPr="001E711E" w:rsidRDefault="001E711E" w:rsidP="001E711E">
            <w:pPr>
              <w:jc w:val="center"/>
              <w:rPr>
                <w:rFonts w:cs="Arial"/>
                <w:sz w:val="18"/>
                <w:szCs w:val="18"/>
                <w:lang w:val="en-US"/>
              </w:rPr>
            </w:pPr>
            <w:r w:rsidRPr="001E711E">
              <w:rPr>
                <w:rFonts w:cs="Arial"/>
                <w:sz w:val="18"/>
                <w:szCs w:val="18"/>
                <w:lang w:val="en-US"/>
              </w:rPr>
              <w:t>37.0</w:t>
            </w:r>
          </w:p>
        </w:tc>
        <w:tc>
          <w:tcPr>
            <w:tcW w:w="1791" w:type="dxa"/>
            <w:tcBorders>
              <w:top w:val="nil"/>
              <w:left w:val="nil"/>
              <w:right w:val="nil"/>
            </w:tcBorders>
          </w:tcPr>
          <w:p w14:paraId="51DFC6C0" w14:textId="77777777" w:rsidR="001E711E" w:rsidRPr="001E711E" w:rsidRDefault="001E711E" w:rsidP="001E711E">
            <w:pPr>
              <w:jc w:val="center"/>
              <w:rPr>
                <w:rFonts w:cs="Arial"/>
                <w:sz w:val="18"/>
                <w:szCs w:val="18"/>
                <w:lang w:val="en-US"/>
              </w:rPr>
            </w:pPr>
            <w:r w:rsidRPr="001E711E">
              <w:rPr>
                <w:rFonts w:cs="Arial"/>
                <w:sz w:val="18"/>
                <w:szCs w:val="18"/>
                <w:lang w:val="en-US"/>
              </w:rPr>
              <w:t>36.7</w:t>
            </w:r>
          </w:p>
        </w:tc>
      </w:tr>
      <w:tr w:rsidR="001E711E" w:rsidRPr="001E711E" w14:paraId="66762FC5" w14:textId="77777777" w:rsidTr="001E711E">
        <w:trPr>
          <w:jc w:val="center"/>
        </w:trPr>
        <w:tc>
          <w:tcPr>
            <w:tcW w:w="1673" w:type="dxa"/>
            <w:tcBorders>
              <w:left w:val="nil"/>
              <w:bottom w:val="nil"/>
              <w:right w:val="nil"/>
            </w:tcBorders>
          </w:tcPr>
          <w:p w14:paraId="62B35DE0" w14:textId="77777777" w:rsidR="001E711E" w:rsidRPr="001E711E" w:rsidRDefault="001E711E" w:rsidP="001E711E">
            <w:pPr>
              <w:rPr>
                <w:rFonts w:cs="Arial"/>
                <w:b/>
                <w:sz w:val="18"/>
                <w:szCs w:val="18"/>
                <w:lang w:val="en-US"/>
              </w:rPr>
            </w:pPr>
            <w:r w:rsidRPr="001E711E">
              <w:rPr>
                <w:rFonts w:cs="Arial"/>
                <w:b/>
                <w:sz w:val="18"/>
                <w:szCs w:val="18"/>
                <w:lang w:val="en-US"/>
              </w:rPr>
              <w:t>DM350</w:t>
            </w:r>
          </w:p>
        </w:tc>
        <w:tc>
          <w:tcPr>
            <w:tcW w:w="1791" w:type="dxa"/>
            <w:tcBorders>
              <w:left w:val="nil"/>
              <w:bottom w:val="nil"/>
              <w:right w:val="nil"/>
            </w:tcBorders>
          </w:tcPr>
          <w:p w14:paraId="162536D7" w14:textId="77777777" w:rsidR="001E711E" w:rsidRPr="001E711E" w:rsidRDefault="001E711E" w:rsidP="001E711E">
            <w:pPr>
              <w:jc w:val="center"/>
              <w:rPr>
                <w:rFonts w:cs="Arial"/>
                <w:sz w:val="18"/>
                <w:szCs w:val="18"/>
                <w:lang w:val="en-US"/>
              </w:rPr>
            </w:pPr>
            <w:r w:rsidRPr="001E711E">
              <w:rPr>
                <w:rFonts w:cs="Arial"/>
                <w:sz w:val="18"/>
                <w:szCs w:val="18"/>
                <w:lang w:val="en-US"/>
              </w:rPr>
              <w:t>8.5</w:t>
            </w:r>
          </w:p>
        </w:tc>
        <w:tc>
          <w:tcPr>
            <w:tcW w:w="1791" w:type="dxa"/>
            <w:tcBorders>
              <w:left w:val="nil"/>
              <w:bottom w:val="nil"/>
              <w:right w:val="nil"/>
            </w:tcBorders>
          </w:tcPr>
          <w:p w14:paraId="2CB58F21" w14:textId="77777777" w:rsidR="001E711E" w:rsidRPr="001E711E" w:rsidRDefault="001E711E" w:rsidP="001E711E">
            <w:pPr>
              <w:jc w:val="center"/>
              <w:rPr>
                <w:rFonts w:cs="Arial"/>
                <w:sz w:val="18"/>
                <w:szCs w:val="18"/>
                <w:lang w:val="en-US"/>
              </w:rPr>
            </w:pPr>
            <w:r w:rsidRPr="001E711E">
              <w:rPr>
                <w:rFonts w:cs="Arial"/>
                <w:sz w:val="18"/>
                <w:szCs w:val="18"/>
                <w:lang w:val="en-US"/>
              </w:rPr>
              <w:t>7.4</w:t>
            </w:r>
          </w:p>
        </w:tc>
        <w:tc>
          <w:tcPr>
            <w:tcW w:w="1791" w:type="dxa"/>
            <w:tcBorders>
              <w:left w:val="nil"/>
              <w:bottom w:val="nil"/>
              <w:right w:val="nil"/>
            </w:tcBorders>
          </w:tcPr>
          <w:p w14:paraId="4C40A13B" w14:textId="77777777" w:rsidR="001E711E" w:rsidRPr="001E711E" w:rsidRDefault="001E711E" w:rsidP="001E711E">
            <w:pPr>
              <w:jc w:val="center"/>
              <w:rPr>
                <w:rFonts w:cs="Arial"/>
                <w:sz w:val="18"/>
                <w:szCs w:val="18"/>
                <w:lang w:val="en-US"/>
              </w:rPr>
            </w:pPr>
            <w:r w:rsidRPr="001E711E">
              <w:rPr>
                <w:rFonts w:cs="Arial"/>
                <w:sz w:val="18"/>
                <w:szCs w:val="18"/>
                <w:lang w:val="en-US"/>
              </w:rPr>
              <w:t>7.8</w:t>
            </w:r>
          </w:p>
        </w:tc>
      </w:tr>
      <w:tr w:rsidR="001E711E" w:rsidRPr="001E711E" w14:paraId="64516DF0" w14:textId="77777777" w:rsidTr="001E711E">
        <w:trPr>
          <w:jc w:val="center"/>
        </w:trPr>
        <w:tc>
          <w:tcPr>
            <w:tcW w:w="1673" w:type="dxa"/>
            <w:tcBorders>
              <w:top w:val="nil"/>
              <w:left w:val="nil"/>
              <w:bottom w:val="nil"/>
              <w:right w:val="nil"/>
            </w:tcBorders>
          </w:tcPr>
          <w:p w14:paraId="5F138283" w14:textId="77777777" w:rsidR="001E711E" w:rsidRPr="001E711E" w:rsidRDefault="001E711E" w:rsidP="001E711E">
            <w:pPr>
              <w:rPr>
                <w:rFonts w:cs="Arial"/>
                <w:b/>
                <w:sz w:val="18"/>
                <w:szCs w:val="18"/>
                <w:lang w:val="en-US"/>
              </w:rPr>
            </w:pPr>
            <w:r w:rsidRPr="001E711E">
              <w:rPr>
                <w:rFonts w:cs="Arial"/>
                <w:b/>
                <w:sz w:val="18"/>
                <w:szCs w:val="18"/>
                <w:lang w:val="en-US"/>
              </w:rPr>
              <w:t>DM550</w:t>
            </w:r>
          </w:p>
        </w:tc>
        <w:tc>
          <w:tcPr>
            <w:tcW w:w="1791" w:type="dxa"/>
            <w:tcBorders>
              <w:top w:val="nil"/>
              <w:left w:val="nil"/>
              <w:bottom w:val="nil"/>
              <w:right w:val="nil"/>
            </w:tcBorders>
          </w:tcPr>
          <w:p w14:paraId="0A82D5A7" w14:textId="77777777" w:rsidR="001E711E" w:rsidRPr="001E711E" w:rsidRDefault="001E711E" w:rsidP="001E711E">
            <w:pPr>
              <w:jc w:val="center"/>
              <w:rPr>
                <w:rFonts w:cs="Arial"/>
                <w:sz w:val="18"/>
                <w:szCs w:val="18"/>
                <w:lang w:val="en-US"/>
              </w:rPr>
            </w:pPr>
            <w:r w:rsidRPr="001E711E">
              <w:rPr>
                <w:rFonts w:cs="Arial"/>
                <w:sz w:val="18"/>
                <w:szCs w:val="18"/>
                <w:lang w:val="en-US"/>
              </w:rPr>
              <w:t>17.8</w:t>
            </w:r>
          </w:p>
        </w:tc>
        <w:tc>
          <w:tcPr>
            <w:tcW w:w="1791" w:type="dxa"/>
            <w:tcBorders>
              <w:top w:val="nil"/>
              <w:left w:val="nil"/>
              <w:bottom w:val="nil"/>
              <w:right w:val="nil"/>
            </w:tcBorders>
          </w:tcPr>
          <w:p w14:paraId="584B1706" w14:textId="77777777" w:rsidR="001E711E" w:rsidRPr="001E711E" w:rsidRDefault="001E711E" w:rsidP="001E711E">
            <w:pPr>
              <w:jc w:val="center"/>
              <w:rPr>
                <w:rFonts w:cs="Arial"/>
                <w:sz w:val="18"/>
                <w:szCs w:val="18"/>
                <w:lang w:val="en-US"/>
              </w:rPr>
            </w:pPr>
            <w:r w:rsidRPr="001E711E">
              <w:rPr>
                <w:rFonts w:cs="Arial"/>
                <w:sz w:val="18"/>
                <w:szCs w:val="18"/>
                <w:lang w:val="en-US"/>
              </w:rPr>
              <w:t>15.4</w:t>
            </w:r>
          </w:p>
        </w:tc>
        <w:tc>
          <w:tcPr>
            <w:tcW w:w="1791" w:type="dxa"/>
            <w:tcBorders>
              <w:top w:val="nil"/>
              <w:left w:val="nil"/>
              <w:bottom w:val="nil"/>
              <w:right w:val="nil"/>
            </w:tcBorders>
          </w:tcPr>
          <w:p w14:paraId="53BF133A" w14:textId="77777777" w:rsidR="001E711E" w:rsidRPr="001E711E" w:rsidRDefault="001E711E" w:rsidP="001E711E">
            <w:pPr>
              <w:jc w:val="center"/>
              <w:rPr>
                <w:rFonts w:cs="Arial"/>
                <w:sz w:val="18"/>
                <w:szCs w:val="18"/>
                <w:lang w:val="en-US"/>
              </w:rPr>
            </w:pPr>
            <w:r w:rsidRPr="001E711E">
              <w:rPr>
                <w:rFonts w:cs="Arial"/>
                <w:sz w:val="18"/>
                <w:szCs w:val="18"/>
                <w:lang w:val="en-US"/>
              </w:rPr>
              <w:t>15.7</w:t>
            </w:r>
          </w:p>
        </w:tc>
      </w:tr>
      <w:tr w:rsidR="001E711E" w:rsidRPr="001E711E" w14:paraId="249E8B8B" w14:textId="77777777" w:rsidTr="001E711E">
        <w:trPr>
          <w:jc w:val="center"/>
        </w:trPr>
        <w:tc>
          <w:tcPr>
            <w:tcW w:w="1673" w:type="dxa"/>
            <w:tcBorders>
              <w:top w:val="nil"/>
              <w:left w:val="nil"/>
              <w:right w:val="nil"/>
            </w:tcBorders>
          </w:tcPr>
          <w:p w14:paraId="22F3702C" w14:textId="77777777" w:rsidR="001E711E" w:rsidRPr="001E711E" w:rsidRDefault="001E711E" w:rsidP="001E711E">
            <w:pPr>
              <w:rPr>
                <w:rFonts w:cs="Arial"/>
                <w:b/>
                <w:sz w:val="18"/>
                <w:szCs w:val="18"/>
                <w:lang w:val="en-US"/>
              </w:rPr>
            </w:pPr>
            <w:r w:rsidRPr="001E711E">
              <w:rPr>
                <w:rFonts w:cs="Arial"/>
                <w:b/>
                <w:sz w:val="18"/>
                <w:szCs w:val="18"/>
                <w:lang w:val="en-US"/>
              </w:rPr>
              <w:t>DM750</w:t>
            </w:r>
          </w:p>
        </w:tc>
        <w:tc>
          <w:tcPr>
            <w:tcW w:w="1791" w:type="dxa"/>
            <w:tcBorders>
              <w:top w:val="nil"/>
              <w:left w:val="nil"/>
              <w:right w:val="nil"/>
            </w:tcBorders>
          </w:tcPr>
          <w:p w14:paraId="7023159C" w14:textId="77777777" w:rsidR="001E711E" w:rsidRPr="001E711E" w:rsidRDefault="001E711E" w:rsidP="001E711E">
            <w:pPr>
              <w:jc w:val="center"/>
              <w:rPr>
                <w:rFonts w:cs="Arial"/>
                <w:sz w:val="18"/>
                <w:szCs w:val="18"/>
                <w:lang w:val="en-US"/>
              </w:rPr>
            </w:pPr>
            <w:r w:rsidRPr="001E711E">
              <w:rPr>
                <w:rFonts w:cs="Arial"/>
                <w:sz w:val="18"/>
                <w:szCs w:val="18"/>
                <w:lang w:val="en-US"/>
              </w:rPr>
              <w:t>19.5</w:t>
            </w:r>
          </w:p>
        </w:tc>
        <w:tc>
          <w:tcPr>
            <w:tcW w:w="1791" w:type="dxa"/>
            <w:tcBorders>
              <w:top w:val="nil"/>
              <w:left w:val="nil"/>
              <w:right w:val="nil"/>
            </w:tcBorders>
          </w:tcPr>
          <w:p w14:paraId="0D00E268" w14:textId="77777777" w:rsidR="001E711E" w:rsidRPr="001E711E" w:rsidRDefault="001E711E" w:rsidP="001E711E">
            <w:pPr>
              <w:jc w:val="center"/>
              <w:rPr>
                <w:rFonts w:cs="Arial"/>
                <w:sz w:val="18"/>
                <w:szCs w:val="18"/>
                <w:lang w:val="en-US"/>
              </w:rPr>
            </w:pPr>
            <w:r w:rsidRPr="001E711E">
              <w:rPr>
                <w:rFonts w:cs="Arial"/>
                <w:sz w:val="18"/>
                <w:szCs w:val="18"/>
                <w:lang w:val="en-US"/>
              </w:rPr>
              <w:t>19.2</w:t>
            </w:r>
          </w:p>
        </w:tc>
        <w:tc>
          <w:tcPr>
            <w:tcW w:w="1791" w:type="dxa"/>
            <w:tcBorders>
              <w:top w:val="nil"/>
              <w:left w:val="nil"/>
              <w:right w:val="nil"/>
            </w:tcBorders>
          </w:tcPr>
          <w:p w14:paraId="75FA7670" w14:textId="77777777" w:rsidR="001E711E" w:rsidRPr="001E711E" w:rsidRDefault="001E711E" w:rsidP="001E711E">
            <w:pPr>
              <w:jc w:val="center"/>
              <w:rPr>
                <w:rFonts w:cs="Arial"/>
                <w:sz w:val="18"/>
                <w:szCs w:val="18"/>
                <w:lang w:val="en-US"/>
              </w:rPr>
            </w:pPr>
            <w:r w:rsidRPr="001E711E">
              <w:rPr>
                <w:rFonts w:cs="Arial"/>
                <w:sz w:val="18"/>
                <w:szCs w:val="18"/>
                <w:lang w:val="en-US"/>
              </w:rPr>
              <w:t>19.1</w:t>
            </w:r>
          </w:p>
        </w:tc>
      </w:tr>
      <w:tr w:rsidR="001E711E" w:rsidRPr="001E711E" w14:paraId="5FF9611A" w14:textId="77777777" w:rsidTr="001E711E">
        <w:trPr>
          <w:jc w:val="center"/>
        </w:trPr>
        <w:tc>
          <w:tcPr>
            <w:tcW w:w="1673" w:type="dxa"/>
            <w:tcBorders>
              <w:left w:val="nil"/>
              <w:bottom w:val="nil"/>
              <w:right w:val="nil"/>
            </w:tcBorders>
          </w:tcPr>
          <w:p w14:paraId="715C19B4" w14:textId="77777777" w:rsidR="001E711E" w:rsidRPr="001E711E" w:rsidRDefault="001E711E" w:rsidP="001E711E">
            <w:pPr>
              <w:rPr>
                <w:rFonts w:cs="Arial"/>
                <w:b/>
                <w:sz w:val="18"/>
                <w:szCs w:val="18"/>
                <w:lang w:val="en-US"/>
              </w:rPr>
            </w:pPr>
            <w:r w:rsidRPr="001E711E">
              <w:rPr>
                <w:rFonts w:cs="Arial"/>
                <w:b/>
                <w:sz w:val="18"/>
                <w:szCs w:val="18"/>
                <w:lang w:val="en-US"/>
              </w:rPr>
              <w:t>C350</w:t>
            </w:r>
          </w:p>
        </w:tc>
        <w:tc>
          <w:tcPr>
            <w:tcW w:w="1791" w:type="dxa"/>
            <w:tcBorders>
              <w:left w:val="nil"/>
              <w:bottom w:val="nil"/>
              <w:right w:val="nil"/>
            </w:tcBorders>
          </w:tcPr>
          <w:p w14:paraId="7552EFCB" w14:textId="77777777" w:rsidR="001E711E" w:rsidRPr="001E711E" w:rsidRDefault="001E711E" w:rsidP="001E711E">
            <w:pPr>
              <w:jc w:val="center"/>
              <w:rPr>
                <w:rFonts w:cs="Arial"/>
                <w:sz w:val="18"/>
                <w:szCs w:val="18"/>
                <w:lang w:val="en-US"/>
              </w:rPr>
            </w:pPr>
            <w:r w:rsidRPr="001E711E">
              <w:rPr>
                <w:rFonts w:cs="Arial"/>
                <w:sz w:val="18"/>
                <w:szCs w:val="18"/>
                <w:lang w:val="en-US"/>
              </w:rPr>
              <w:t>11.0</w:t>
            </w:r>
          </w:p>
        </w:tc>
        <w:tc>
          <w:tcPr>
            <w:tcW w:w="1791" w:type="dxa"/>
            <w:tcBorders>
              <w:left w:val="nil"/>
              <w:bottom w:val="nil"/>
              <w:right w:val="nil"/>
            </w:tcBorders>
          </w:tcPr>
          <w:p w14:paraId="09C6440C" w14:textId="77777777" w:rsidR="001E711E" w:rsidRPr="001E711E" w:rsidRDefault="001E711E" w:rsidP="001E711E">
            <w:pPr>
              <w:jc w:val="center"/>
              <w:rPr>
                <w:rFonts w:cs="Arial"/>
                <w:sz w:val="18"/>
                <w:szCs w:val="18"/>
                <w:lang w:val="en-US"/>
              </w:rPr>
            </w:pPr>
            <w:r w:rsidRPr="001E711E">
              <w:rPr>
                <w:rFonts w:cs="Arial"/>
                <w:sz w:val="18"/>
                <w:szCs w:val="18"/>
                <w:lang w:val="en-US"/>
              </w:rPr>
              <w:t>10.4</w:t>
            </w:r>
          </w:p>
        </w:tc>
        <w:tc>
          <w:tcPr>
            <w:tcW w:w="1791" w:type="dxa"/>
            <w:tcBorders>
              <w:left w:val="nil"/>
              <w:bottom w:val="nil"/>
              <w:right w:val="nil"/>
            </w:tcBorders>
          </w:tcPr>
          <w:p w14:paraId="162D393C" w14:textId="77777777" w:rsidR="001E711E" w:rsidRPr="001E711E" w:rsidRDefault="001E711E" w:rsidP="001E711E">
            <w:pPr>
              <w:jc w:val="center"/>
              <w:rPr>
                <w:rFonts w:cs="Arial"/>
                <w:sz w:val="18"/>
                <w:szCs w:val="18"/>
                <w:lang w:val="en-US"/>
              </w:rPr>
            </w:pPr>
            <w:r w:rsidRPr="001E711E">
              <w:rPr>
                <w:rFonts w:cs="Arial"/>
                <w:sz w:val="18"/>
                <w:szCs w:val="18"/>
                <w:lang w:val="en-US"/>
              </w:rPr>
              <w:t>10.3</w:t>
            </w:r>
          </w:p>
        </w:tc>
      </w:tr>
      <w:tr w:rsidR="001E711E" w:rsidRPr="001E711E" w14:paraId="245F0344" w14:textId="77777777" w:rsidTr="001E711E">
        <w:trPr>
          <w:jc w:val="center"/>
        </w:trPr>
        <w:tc>
          <w:tcPr>
            <w:tcW w:w="1673" w:type="dxa"/>
            <w:tcBorders>
              <w:top w:val="nil"/>
              <w:left w:val="nil"/>
              <w:bottom w:val="nil"/>
              <w:right w:val="nil"/>
            </w:tcBorders>
          </w:tcPr>
          <w:p w14:paraId="7D0F0606" w14:textId="77777777" w:rsidR="001E711E" w:rsidRPr="001E711E" w:rsidRDefault="001E711E" w:rsidP="001E711E">
            <w:pPr>
              <w:rPr>
                <w:rFonts w:cs="Arial"/>
                <w:b/>
                <w:sz w:val="18"/>
                <w:szCs w:val="18"/>
                <w:lang w:val="en-US"/>
              </w:rPr>
            </w:pPr>
            <w:r w:rsidRPr="001E711E">
              <w:rPr>
                <w:rFonts w:cs="Arial"/>
                <w:b/>
                <w:sz w:val="18"/>
                <w:szCs w:val="18"/>
                <w:lang w:val="en-US"/>
              </w:rPr>
              <w:t>C550</w:t>
            </w:r>
          </w:p>
        </w:tc>
        <w:tc>
          <w:tcPr>
            <w:tcW w:w="1791" w:type="dxa"/>
            <w:tcBorders>
              <w:top w:val="nil"/>
              <w:left w:val="nil"/>
              <w:bottom w:val="nil"/>
              <w:right w:val="nil"/>
            </w:tcBorders>
          </w:tcPr>
          <w:p w14:paraId="4466FD61" w14:textId="77777777" w:rsidR="001E711E" w:rsidRPr="001E711E" w:rsidRDefault="001E711E" w:rsidP="001E711E">
            <w:pPr>
              <w:jc w:val="center"/>
              <w:rPr>
                <w:rFonts w:cs="Arial"/>
                <w:sz w:val="18"/>
                <w:szCs w:val="18"/>
                <w:lang w:val="en-US"/>
              </w:rPr>
            </w:pPr>
            <w:r w:rsidRPr="001E711E">
              <w:rPr>
                <w:rFonts w:cs="Arial"/>
                <w:sz w:val="18"/>
                <w:szCs w:val="18"/>
                <w:lang w:val="en-US"/>
              </w:rPr>
              <w:t>32.8</w:t>
            </w:r>
          </w:p>
        </w:tc>
        <w:tc>
          <w:tcPr>
            <w:tcW w:w="1791" w:type="dxa"/>
            <w:tcBorders>
              <w:top w:val="nil"/>
              <w:left w:val="nil"/>
              <w:bottom w:val="nil"/>
              <w:right w:val="nil"/>
            </w:tcBorders>
          </w:tcPr>
          <w:p w14:paraId="3E134CFA" w14:textId="77777777" w:rsidR="001E711E" w:rsidRPr="001E711E" w:rsidRDefault="001E711E" w:rsidP="001E711E">
            <w:pPr>
              <w:jc w:val="center"/>
              <w:rPr>
                <w:rFonts w:cs="Arial"/>
                <w:sz w:val="18"/>
                <w:szCs w:val="18"/>
                <w:lang w:val="en-US"/>
              </w:rPr>
            </w:pPr>
            <w:r w:rsidRPr="001E711E">
              <w:rPr>
                <w:rFonts w:cs="Arial"/>
                <w:sz w:val="18"/>
                <w:szCs w:val="18"/>
                <w:lang w:val="en-US"/>
              </w:rPr>
              <w:t>31.4</w:t>
            </w:r>
          </w:p>
        </w:tc>
        <w:tc>
          <w:tcPr>
            <w:tcW w:w="1791" w:type="dxa"/>
            <w:tcBorders>
              <w:top w:val="nil"/>
              <w:left w:val="nil"/>
              <w:bottom w:val="nil"/>
              <w:right w:val="nil"/>
            </w:tcBorders>
          </w:tcPr>
          <w:p w14:paraId="057CEB64" w14:textId="77777777" w:rsidR="001E711E" w:rsidRPr="001E711E" w:rsidRDefault="001E711E" w:rsidP="001E711E">
            <w:pPr>
              <w:jc w:val="center"/>
              <w:rPr>
                <w:rFonts w:cs="Arial"/>
                <w:sz w:val="18"/>
                <w:szCs w:val="18"/>
                <w:lang w:val="en-US"/>
              </w:rPr>
            </w:pPr>
            <w:r w:rsidRPr="001E711E">
              <w:rPr>
                <w:rFonts w:cs="Arial"/>
                <w:sz w:val="18"/>
                <w:szCs w:val="18"/>
                <w:lang w:val="en-US"/>
              </w:rPr>
              <w:t>31.9</w:t>
            </w:r>
          </w:p>
        </w:tc>
      </w:tr>
      <w:tr w:rsidR="001E711E" w:rsidRPr="001E711E" w14:paraId="17021C04" w14:textId="77777777" w:rsidTr="001E711E">
        <w:trPr>
          <w:jc w:val="center"/>
        </w:trPr>
        <w:tc>
          <w:tcPr>
            <w:tcW w:w="1673" w:type="dxa"/>
            <w:tcBorders>
              <w:top w:val="nil"/>
              <w:left w:val="nil"/>
              <w:right w:val="nil"/>
            </w:tcBorders>
          </w:tcPr>
          <w:p w14:paraId="6C0D1A6C" w14:textId="77777777" w:rsidR="001E711E" w:rsidRPr="001E711E" w:rsidRDefault="001E711E" w:rsidP="001E711E">
            <w:pPr>
              <w:rPr>
                <w:rFonts w:cs="Arial"/>
                <w:b/>
                <w:sz w:val="18"/>
                <w:szCs w:val="18"/>
                <w:lang w:val="en-US"/>
              </w:rPr>
            </w:pPr>
            <w:r w:rsidRPr="001E711E">
              <w:rPr>
                <w:rFonts w:cs="Arial"/>
                <w:b/>
                <w:sz w:val="18"/>
                <w:szCs w:val="18"/>
                <w:lang w:val="en-US"/>
              </w:rPr>
              <w:t>C750</w:t>
            </w:r>
          </w:p>
        </w:tc>
        <w:tc>
          <w:tcPr>
            <w:tcW w:w="1791" w:type="dxa"/>
            <w:tcBorders>
              <w:top w:val="nil"/>
              <w:left w:val="nil"/>
              <w:right w:val="nil"/>
            </w:tcBorders>
          </w:tcPr>
          <w:p w14:paraId="4DBB8F74" w14:textId="77777777" w:rsidR="001E711E" w:rsidRPr="001E711E" w:rsidRDefault="001E711E" w:rsidP="001E711E">
            <w:pPr>
              <w:jc w:val="center"/>
              <w:rPr>
                <w:rFonts w:cs="Arial"/>
                <w:sz w:val="18"/>
                <w:szCs w:val="18"/>
                <w:lang w:val="en-US"/>
              </w:rPr>
            </w:pPr>
            <w:r w:rsidRPr="001E711E">
              <w:rPr>
                <w:rFonts w:cs="Arial"/>
                <w:sz w:val="18"/>
                <w:szCs w:val="18"/>
                <w:lang w:val="en-US"/>
              </w:rPr>
              <w:t>41.0</w:t>
            </w:r>
          </w:p>
        </w:tc>
        <w:tc>
          <w:tcPr>
            <w:tcW w:w="1791" w:type="dxa"/>
            <w:tcBorders>
              <w:top w:val="nil"/>
              <w:left w:val="nil"/>
              <w:right w:val="nil"/>
            </w:tcBorders>
          </w:tcPr>
          <w:p w14:paraId="2F7B3679" w14:textId="77777777" w:rsidR="001E711E" w:rsidRPr="001E711E" w:rsidRDefault="001E711E" w:rsidP="001E711E">
            <w:pPr>
              <w:jc w:val="center"/>
              <w:rPr>
                <w:rFonts w:cs="Arial"/>
                <w:sz w:val="18"/>
                <w:szCs w:val="18"/>
                <w:lang w:val="en-US"/>
              </w:rPr>
            </w:pPr>
            <w:r w:rsidRPr="001E711E">
              <w:rPr>
                <w:rFonts w:cs="Arial"/>
                <w:sz w:val="18"/>
                <w:szCs w:val="18"/>
                <w:lang w:val="en-US"/>
              </w:rPr>
              <w:t>38.8</w:t>
            </w:r>
          </w:p>
        </w:tc>
        <w:tc>
          <w:tcPr>
            <w:tcW w:w="1791" w:type="dxa"/>
            <w:tcBorders>
              <w:top w:val="nil"/>
              <w:left w:val="nil"/>
              <w:right w:val="nil"/>
            </w:tcBorders>
          </w:tcPr>
          <w:p w14:paraId="24E597ED" w14:textId="77777777" w:rsidR="001E711E" w:rsidRPr="001E711E" w:rsidRDefault="001E711E" w:rsidP="001E711E">
            <w:pPr>
              <w:jc w:val="center"/>
              <w:rPr>
                <w:rFonts w:cs="Arial"/>
                <w:sz w:val="18"/>
                <w:szCs w:val="18"/>
                <w:lang w:val="en-US"/>
              </w:rPr>
            </w:pPr>
            <w:r w:rsidRPr="001E711E">
              <w:rPr>
                <w:rFonts w:cs="Arial"/>
                <w:sz w:val="18"/>
                <w:szCs w:val="18"/>
                <w:lang w:val="en-US"/>
              </w:rPr>
              <w:t>39.2</w:t>
            </w:r>
          </w:p>
        </w:tc>
      </w:tr>
      <w:tr w:rsidR="001E711E" w:rsidRPr="001E711E" w14:paraId="452A094E" w14:textId="77777777" w:rsidTr="001E711E">
        <w:trPr>
          <w:jc w:val="center"/>
        </w:trPr>
        <w:tc>
          <w:tcPr>
            <w:tcW w:w="1673" w:type="dxa"/>
            <w:tcBorders>
              <w:left w:val="nil"/>
              <w:bottom w:val="nil"/>
              <w:right w:val="nil"/>
            </w:tcBorders>
          </w:tcPr>
          <w:p w14:paraId="46F992C7" w14:textId="77777777" w:rsidR="001E711E" w:rsidRPr="001E711E" w:rsidRDefault="001E711E" w:rsidP="001E711E">
            <w:pPr>
              <w:rPr>
                <w:rFonts w:cs="Arial"/>
                <w:b/>
                <w:sz w:val="18"/>
                <w:szCs w:val="18"/>
                <w:lang w:val="en-US"/>
              </w:rPr>
            </w:pPr>
            <w:r w:rsidRPr="001E711E">
              <w:rPr>
                <w:rFonts w:cs="Arial"/>
                <w:b/>
                <w:sz w:val="18"/>
                <w:szCs w:val="18"/>
                <w:lang w:val="en-US"/>
              </w:rPr>
              <w:t>MBM350</w:t>
            </w:r>
          </w:p>
        </w:tc>
        <w:tc>
          <w:tcPr>
            <w:tcW w:w="1791" w:type="dxa"/>
            <w:tcBorders>
              <w:left w:val="nil"/>
              <w:bottom w:val="nil"/>
              <w:right w:val="nil"/>
            </w:tcBorders>
          </w:tcPr>
          <w:p w14:paraId="6F80C783" w14:textId="77777777" w:rsidR="001E711E" w:rsidRPr="001E711E" w:rsidRDefault="001E711E" w:rsidP="001E711E">
            <w:pPr>
              <w:jc w:val="center"/>
              <w:rPr>
                <w:rFonts w:cs="Arial"/>
                <w:sz w:val="18"/>
                <w:szCs w:val="18"/>
                <w:lang w:val="en-US"/>
              </w:rPr>
            </w:pPr>
            <w:r w:rsidRPr="001E711E">
              <w:rPr>
                <w:rFonts w:cs="Arial"/>
                <w:sz w:val="18"/>
                <w:szCs w:val="18"/>
                <w:lang w:val="en-US"/>
              </w:rPr>
              <w:t>5.8</w:t>
            </w:r>
          </w:p>
        </w:tc>
        <w:tc>
          <w:tcPr>
            <w:tcW w:w="1791" w:type="dxa"/>
            <w:tcBorders>
              <w:left w:val="nil"/>
              <w:bottom w:val="nil"/>
              <w:right w:val="nil"/>
            </w:tcBorders>
          </w:tcPr>
          <w:p w14:paraId="3A72EA05" w14:textId="77777777" w:rsidR="001E711E" w:rsidRPr="001E711E" w:rsidRDefault="001E711E" w:rsidP="001E711E">
            <w:pPr>
              <w:jc w:val="center"/>
              <w:rPr>
                <w:rFonts w:cs="Arial"/>
                <w:sz w:val="18"/>
                <w:szCs w:val="18"/>
                <w:lang w:val="en-US"/>
              </w:rPr>
            </w:pPr>
            <w:r w:rsidRPr="001E711E">
              <w:rPr>
                <w:rFonts w:cs="Arial"/>
                <w:sz w:val="18"/>
                <w:szCs w:val="18"/>
                <w:lang w:val="en-US"/>
              </w:rPr>
              <w:t>4.4</w:t>
            </w:r>
          </w:p>
        </w:tc>
        <w:tc>
          <w:tcPr>
            <w:tcW w:w="1791" w:type="dxa"/>
            <w:tcBorders>
              <w:left w:val="nil"/>
              <w:bottom w:val="nil"/>
              <w:right w:val="nil"/>
            </w:tcBorders>
          </w:tcPr>
          <w:p w14:paraId="65889E33" w14:textId="77777777" w:rsidR="001E711E" w:rsidRPr="001E711E" w:rsidRDefault="001E711E" w:rsidP="001E711E">
            <w:pPr>
              <w:jc w:val="center"/>
              <w:rPr>
                <w:rFonts w:cs="Arial"/>
                <w:sz w:val="18"/>
                <w:szCs w:val="18"/>
                <w:lang w:val="en-US"/>
              </w:rPr>
            </w:pPr>
            <w:r w:rsidRPr="001E711E">
              <w:rPr>
                <w:rFonts w:cs="Arial"/>
                <w:sz w:val="18"/>
                <w:szCs w:val="18"/>
                <w:lang w:val="en-US"/>
              </w:rPr>
              <w:t>--</w:t>
            </w:r>
          </w:p>
        </w:tc>
      </w:tr>
      <w:tr w:rsidR="001E711E" w:rsidRPr="001E711E" w14:paraId="2BAC40E8" w14:textId="77777777" w:rsidTr="001E711E">
        <w:trPr>
          <w:jc w:val="center"/>
        </w:trPr>
        <w:tc>
          <w:tcPr>
            <w:tcW w:w="1673" w:type="dxa"/>
            <w:tcBorders>
              <w:top w:val="nil"/>
              <w:left w:val="nil"/>
              <w:bottom w:val="nil"/>
              <w:right w:val="nil"/>
            </w:tcBorders>
          </w:tcPr>
          <w:p w14:paraId="78B3DC0F" w14:textId="77777777" w:rsidR="001E711E" w:rsidRPr="001E711E" w:rsidRDefault="001E711E" w:rsidP="001E711E">
            <w:pPr>
              <w:rPr>
                <w:rFonts w:cs="Arial"/>
                <w:b/>
                <w:sz w:val="18"/>
                <w:szCs w:val="18"/>
                <w:lang w:val="en-US"/>
              </w:rPr>
            </w:pPr>
            <w:r w:rsidRPr="001E711E">
              <w:rPr>
                <w:rFonts w:cs="Arial"/>
                <w:b/>
                <w:sz w:val="18"/>
                <w:szCs w:val="18"/>
                <w:lang w:val="en-US"/>
              </w:rPr>
              <w:t>MBM350</w:t>
            </w:r>
          </w:p>
        </w:tc>
        <w:tc>
          <w:tcPr>
            <w:tcW w:w="1791" w:type="dxa"/>
            <w:tcBorders>
              <w:top w:val="nil"/>
              <w:left w:val="nil"/>
              <w:bottom w:val="nil"/>
              <w:right w:val="nil"/>
            </w:tcBorders>
          </w:tcPr>
          <w:p w14:paraId="270E2CC7" w14:textId="77777777" w:rsidR="001E711E" w:rsidRPr="001E711E" w:rsidRDefault="001E711E" w:rsidP="001E711E">
            <w:pPr>
              <w:jc w:val="center"/>
              <w:rPr>
                <w:rFonts w:cs="Arial"/>
                <w:sz w:val="18"/>
                <w:szCs w:val="18"/>
                <w:lang w:val="en-US"/>
              </w:rPr>
            </w:pPr>
            <w:r w:rsidRPr="001E711E">
              <w:rPr>
                <w:rFonts w:cs="Arial"/>
                <w:sz w:val="18"/>
                <w:szCs w:val="18"/>
                <w:lang w:val="en-US"/>
              </w:rPr>
              <w:t>26.8</w:t>
            </w:r>
          </w:p>
        </w:tc>
        <w:tc>
          <w:tcPr>
            <w:tcW w:w="1791" w:type="dxa"/>
            <w:tcBorders>
              <w:top w:val="nil"/>
              <w:left w:val="nil"/>
              <w:bottom w:val="nil"/>
              <w:right w:val="nil"/>
            </w:tcBorders>
          </w:tcPr>
          <w:p w14:paraId="65D89566" w14:textId="77777777" w:rsidR="001E711E" w:rsidRPr="001E711E" w:rsidRDefault="001E711E" w:rsidP="001E711E">
            <w:pPr>
              <w:jc w:val="center"/>
              <w:rPr>
                <w:rFonts w:cs="Arial"/>
                <w:sz w:val="18"/>
                <w:szCs w:val="18"/>
                <w:lang w:val="en-US"/>
              </w:rPr>
            </w:pPr>
            <w:r w:rsidRPr="001E711E">
              <w:rPr>
                <w:rFonts w:cs="Arial"/>
                <w:sz w:val="18"/>
                <w:szCs w:val="18"/>
                <w:lang w:val="en-US"/>
              </w:rPr>
              <w:t>26.4</w:t>
            </w:r>
          </w:p>
        </w:tc>
        <w:tc>
          <w:tcPr>
            <w:tcW w:w="1791" w:type="dxa"/>
            <w:tcBorders>
              <w:top w:val="nil"/>
              <w:left w:val="nil"/>
              <w:bottom w:val="nil"/>
              <w:right w:val="nil"/>
            </w:tcBorders>
          </w:tcPr>
          <w:p w14:paraId="40E8525B" w14:textId="77777777" w:rsidR="001E711E" w:rsidRPr="001E711E" w:rsidRDefault="001E711E" w:rsidP="001E711E">
            <w:pPr>
              <w:jc w:val="center"/>
              <w:rPr>
                <w:rFonts w:cs="Arial"/>
                <w:sz w:val="18"/>
                <w:szCs w:val="18"/>
                <w:lang w:val="en-US"/>
              </w:rPr>
            </w:pPr>
            <w:r w:rsidRPr="001E711E">
              <w:rPr>
                <w:rFonts w:cs="Arial"/>
                <w:sz w:val="18"/>
                <w:szCs w:val="18"/>
                <w:lang w:val="en-US"/>
              </w:rPr>
              <w:t>--</w:t>
            </w:r>
          </w:p>
        </w:tc>
      </w:tr>
      <w:tr w:rsidR="001E711E" w:rsidRPr="001E711E" w14:paraId="4649977E" w14:textId="77777777" w:rsidTr="001E711E">
        <w:trPr>
          <w:jc w:val="center"/>
        </w:trPr>
        <w:tc>
          <w:tcPr>
            <w:tcW w:w="1673" w:type="dxa"/>
            <w:tcBorders>
              <w:top w:val="nil"/>
              <w:left w:val="nil"/>
              <w:right w:val="nil"/>
            </w:tcBorders>
          </w:tcPr>
          <w:p w14:paraId="0A42C194" w14:textId="77777777" w:rsidR="001E711E" w:rsidRPr="001E711E" w:rsidRDefault="001E711E" w:rsidP="001E711E">
            <w:pPr>
              <w:rPr>
                <w:rFonts w:cs="Arial"/>
                <w:b/>
                <w:sz w:val="18"/>
                <w:szCs w:val="18"/>
                <w:lang w:val="en-US"/>
              </w:rPr>
            </w:pPr>
            <w:r w:rsidRPr="001E711E">
              <w:rPr>
                <w:rFonts w:cs="Arial"/>
                <w:b/>
                <w:sz w:val="18"/>
                <w:szCs w:val="18"/>
                <w:lang w:val="en-US"/>
              </w:rPr>
              <w:t>MBM750</w:t>
            </w:r>
          </w:p>
        </w:tc>
        <w:tc>
          <w:tcPr>
            <w:tcW w:w="1791" w:type="dxa"/>
            <w:tcBorders>
              <w:top w:val="nil"/>
              <w:left w:val="nil"/>
              <w:right w:val="nil"/>
            </w:tcBorders>
          </w:tcPr>
          <w:p w14:paraId="3E08EE35" w14:textId="77777777" w:rsidR="001E711E" w:rsidRPr="001E711E" w:rsidRDefault="001E711E" w:rsidP="001E711E">
            <w:pPr>
              <w:jc w:val="center"/>
              <w:rPr>
                <w:rFonts w:cs="Arial"/>
                <w:sz w:val="18"/>
                <w:szCs w:val="18"/>
                <w:lang w:val="en-US"/>
              </w:rPr>
            </w:pPr>
            <w:r w:rsidRPr="001E711E">
              <w:rPr>
                <w:rFonts w:cs="Arial"/>
                <w:sz w:val="18"/>
                <w:szCs w:val="18"/>
                <w:lang w:val="en-US"/>
              </w:rPr>
              <w:t>21.1</w:t>
            </w:r>
          </w:p>
        </w:tc>
        <w:tc>
          <w:tcPr>
            <w:tcW w:w="1791" w:type="dxa"/>
            <w:tcBorders>
              <w:top w:val="nil"/>
              <w:left w:val="nil"/>
              <w:right w:val="nil"/>
            </w:tcBorders>
          </w:tcPr>
          <w:p w14:paraId="77A73DDE" w14:textId="77777777" w:rsidR="001E711E" w:rsidRPr="001E711E" w:rsidRDefault="001E711E" w:rsidP="001E711E">
            <w:pPr>
              <w:jc w:val="center"/>
              <w:rPr>
                <w:rFonts w:cs="Arial"/>
                <w:sz w:val="18"/>
                <w:szCs w:val="18"/>
                <w:lang w:val="en-US"/>
              </w:rPr>
            </w:pPr>
            <w:r w:rsidRPr="001E711E">
              <w:rPr>
                <w:rFonts w:cs="Arial"/>
                <w:sz w:val="18"/>
                <w:szCs w:val="18"/>
                <w:lang w:val="en-US"/>
              </w:rPr>
              <w:t>18.2</w:t>
            </w:r>
          </w:p>
        </w:tc>
        <w:tc>
          <w:tcPr>
            <w:tcW w:w="1791" w:type="dxa"/>
            <w:tcBorders>
              <w:top w:val="nil"/>
              <w:left w:val="nil"/>
              <w:right w:val="nil"/>
            </w:tcBorders>
          </w:tcPr>
          <w:p w14:paraId="65FD6CF3" w14:textId="77777777" w:rsidR="001E711E" w:rsidRPr="001E711E" w:rsidRDefault="001E711E" w:rsidP="001E711E">
            <w:pPr>
              <w:jc w:val="center"/>
              <w:rPr>
                <w:rFonts w:cs="Arial"/>
                <w:sz w:val="18"/>
                <w:szCs w:val="18"/>
                <w:lang w:val="en-US"/>
              </w:rPr>
            </w:pPr>
            <w:r w:rsidRPr="001E711E">
              <w:rPr>
                <w:rFonts w:cs="Arial"/>
                <w:sz w:val="18"/>
                <w:szCs w:val="18"/>
                <w:lang w:val="en-US"/>
              </w:rPr>
              <w:t>--</w:t>
            </w:r>
          </w:p>
        </w:tc>
      </w:tr>
    </w:tbl>
    <w:p w14:paraId="491AA1A9" w14:textId="77777777" w:rsidR="0047067C" w:rsidRPr="00FB6A81" w:rsidRDefault="0047067C" w:rsidP="00C9181F">
      <w:pPr>
        <w:pStyle w:val="Paragrafoprincipale"/>
      </w:pPr>
      <w:r w:rsidRPr="00FB6A81">
        <w:t>CONCLUSIONS</w:t>
      </w:r>
    </w:p>
    <w:p w14:paraId="70E1852C" w14:textId="60118974" w:rsidR="00694B73" w:rsidRDefault="00694B73" w:rsidP="00694B73">
      <w:pPr>
        <w:rPr>
          <w:lang w:val="en-US"/>
        </w:rPr>
      </w:pPr>
      <w:r w:rsidRPr="00694B73">
        <w:rPr>
          <w:lang w:val="en-US"/>
        </w:rPr>
        <w:t>The CO</w:t>
      </w:r>
      <w:r w:rsidRPr="00694B73">
        <w:rPr>
          <w:vertAlign w:val="subscript"/>
          <w:lang w:val="en-US"/>
        </w:rPr>
        <w:t>2</w:t>
      </w:r>
      <w:r w:rsidRPr="00694B73">
        <w:rPr>
          <w:lang w:val="en-US"/>
        </w:rPr>
        <w:t xml:space="preserve"> adsorption </w:t>
      </w:r>
      <w:r>
        <w:rPr>
          <w:lang w:val="en-US"/>
        </w:rPr>
        <w:t>potential of</w:t>
      </w:r>
      <w:r w:rsidRPr="00694B73">
        <w:rPr>
          <w:lang w:val="en-US"/>
        </w:rPr>
        <w:t xml:space="preserve"> chars produced from pyrolysis at </w:t>
      </w:r>
      <w:r>
        <w:rPr>
          <w:lang w:val="en-US"/>
        </w:rPr>
        <w:t>350-</w:t>
      </w:r>
      <w:r w:rsidRPr="00694B73">
        <w:rPr>
          <w:lang w:val="en-US"/>
        </w:rPr>
        <w:t xml:space="preserve">750ºC of </w:t>
      </w:r>
      <w:r>
        <w:rPr>
          <w:lang w:val="en-US"/>
        </w:rPr>
        <w:t xml:space="preserve">protein-rich animal wastes </w:t>
      </w:r>
      <w:r w:rsidR="00CA5D77">
        <w:rPr>
          <w:lang w:val="en-US"/>
        </w:rPr>
        <w:t xml:space="preserve">(co-digested manure and meat and bone meal) </w:t>
      </w:r>
      <w:r>
        <w:rPr>
          <w:lang w:val="en-US"/>
        </w:rPr>
        <w:t xml:space="preserve">and their </w:t>
      </w:r>
      <w:r w:rsidR="00CA5D77">
        <w:rPr>
          <w:lang w:val="en-US"/>
        </w:rPr>
        <w:t xml:space="preserve">most </w:t>
      </w:r>
      <w:r>
        <w:rPr>
          <w:lang w:val="en-US"/>
        </w:rPr>
        <w:t xml:space="preserve">representative proteins </w:t>
      </w:r>
      <w:r w:rsidR="00CA5D77">
        <w:rPr>
          <w:lang w:val="en-US"/>
        </w:rPr>
        <w:t xml:space="preserve">(soybean protein and </w:t>
      </w:r>
      <w:proofErr w:type="spellStart"/>
      <w:r w:rsidR="00CA5D77">
        <w:rPr>
          <w:lang w:val="en-US"/>
        </w:rPr>
        <w:t>collagene</w:t>
      </w:r>
      <w:proofErr w:type="spellEnd"/>
      <w:r w:rsidR="00CA5D77">
        <w:rPr>
          <w:lang w:val="en-US"/>
        </w:rPr>
        <w:t xml:space="preserve">) </w:t>
      </w:r>
      <w:r w:rsidRPr="00694B73">
        <w:rPr>
          <w:lang w:val="en-US"/>
        </w:rPr>
        <w:t xml:space="preserve">has been analyzed in a thermogravimetric </w:t>
      </w:r>
      <w:r>
        <w:rPr>
          <w:lang w:val="en-US"/>
        </w:rPr>
        <w:t>apparatus</w:t>
      </w:r>
      <w:r w:rsidR="00CA5D77">
        <w:rPr>
          <w:lang w:val="en-US"/>
        </w:rPr>
        <w:t xml:space="preserve"> </w:t>
      </w:r>
      <w:r w:rsidRPr="00694B73">
        <w:rPr>
          <w:lang w:val="en-US"/>
        </w:rPr>
        <w:t xml:space="preserve">(TGA). </w:t>
      </w:r>
      <w:r>
        <w:rPr>
          <w:lang w:val="en-US"/>
        </w:rPr>
        <w:t xml:space="preserve">Adsorption isotherms </w:t>
      </w:r>
      <w:r w:rsidRPr="00694B73">
        <w:rPr>
          <w:lang w:val="en-US"/>
        </w:rPr>
        <w:t>at 25ºC have been determined</w:t>
      </w:r>
      <w:r>
        <w:rPr>
          <w:lang w:val="en-US"/>
        </w:rPr>
        <w:t xml:space="preserve"> and</w:t>
      </w:r>
      <w:r w:rsidRPr="00694B73">
        <w:rPr>
          <w:lang w:val="en-US"/>
        </w:rPr>
        <w:t xml:space="preserve"> </w:t>
      </w:r>
      <w:r w:rsidR="00EC0F7D">
        <w:rPr>
          <w:lang w:val="en-US"/>
        </w:rPr>
        <w:t>tried to correlate</w:t>
      </w:r>
      <w:r w:rsidRPr="00694B73">
        <w:rPr>
          <w:lang w:val="en-US"/>
        </w:rPr>
        <w:t xml:space="preserve"> with </w:t>
      </w:r>
      <w:r>
        <w:rPr>
          <w:lang w:val="en-US"/>
        </w:rPr>
        <w:t xml:space="preserve">char </w:t>
      </w:r>
      <w:r w:rsidRPr="00694B73">
        <w:rPr>
          <w:lang w:val="en-US"/>
        </w:rPr>
        <w:t>characterization results (</w:t>
      </w:r>
      <w:r>
        <w:rPr>
          <w:lang w:val="en-US"/>
        </w:rPr>
        <w:t xml:space="preserve">elemental analysis, FTIR </w:t>
      </w:r>
      <w:bookmarkStart w:id="1" w:name="_GoBack"/>
      <w:bookmarkEnd w:id="1"/>
      <w:r>
        <w:rPr>
          <w:lang w:val="en-US"/>
        </w:rPr>
        <w:t>technique and textural properties</w:t>
      </w:r>
      <w:r w:rsidRPr="00694B73">
        <w:rPr>
          <w:lang w:val="en-US"/>
        </w:rPr>
        <w:t xml:space="preserve">) to improve the fundamental understanding </w:t>
      </w:r>
      <w:r w:rsidR="00891F5A">
        <w:rPr>
          <w:lang w:val="en-US"/>
        </w:rPr>
        <w:lastRenderedPageBreak/>
        <w:t>of</w:t>
      </w:r>
      <w:r w:rsidRPr="00694B73">
        <w:rPr>
          <w:lang w:val="en-US"/>
        </w:rPr>
        <w:t xml:space="preserve"> relation between</w:t>
      </w:r>
      <w:r>
        <w:rPr>
          <w:lang w:val="en-US"/>
        </w:rPr>
        <w:t xml:space="preserve"> </w:t>
      </w:r>
      <w:r w:rsidRPr="00694B73">
        <w:rPr>
          <w:lang w:val="en-US"/>
        </w:rPr>
        <w:t>composition and CO</w:t>
      </w:r>
      <w:r w:rsidRPr="00694B73">
        <w:rPr>
          <w:vertAlign w:val="subscript"/>
          <w:lang w:val="en-US"/>
        </w:rPr>
        <w:t>2</w:t>
      </w:r>
      <w:r w:rsidRPr="00694B73">
        <w:rPr>
          <w:lang w:val="en-US"/>
        </w:rPr>
        <w:t xml:space="preserve"> adsorption properties of final char material.</w:t>
      </w:r>
    </w:p>
    <w:p w14:paraId="1EC23857" w14:textId="28191D03" w:rsidR="00891F5A" w:rsidRDefault="00CA5D77" w:rsidP="00EC0F7D">
      <w:pPr>
        <w:rPr>
          <w:szCs w:val="21"/>
          <w:lang w:val="en-US"/>
        </w:rPr>
      </w:pPr>
      <w:r>
        <w:rPr>
          <w:szCs w:val="21"/>
          <w:lang w:val="en-US"/>
        </w:rPr>
        <w:t>Proteins chars show</w:t>
      </w:r>
      <w:r w:rsidRPr="00E541A8">
        <w:rPr>
          <w:szCs w:val="21"/>
          <w:lang w:val="en-US"/>
        </w:rPr>
        <w:t xml:space="preserve"> </w:t>
      </w:r>
      <w:r>
        <w:rPr>
          <w:szCs w:val="21"/>
          <w:lang w:val="en-US"/>
        </w:rPr>
        <w:t xml:space="preserve">higher </w:t>
      </w:r>
      <w:r w:rsidR="00083862">
        <w:rPr>
          <w:szCs w:val="21"/>
          <w:lang w:val="en-US"/>
        </w:rPr>
        <w:t>CO</w:t>
      </w:r>
      <w:r w:rsidR="00083862" w:rsidRPr="00083862">
        <w:rPr>
          <w:szCs w:val="21"/>
          <w:vertAlign w:val="subscript"/>
          <w:lang w:val="en-US"/>
        </w:rPr>
        <w:t>2</w:t>
      </w:r>
      <w:r w:rsidR="00083862">
        <w:rPr>
          <w:szCs w:val="21"/>
          <w:lang w:val="en-US"/>
        </w:rPr>
        <w:t xml:space="preserve"> </w:t>
      </w:r>
      <w:r w:rsidRPr="00E541A8">
        <w:rPr>
          <w:szCs w:val="21"/>
          <w:lang w:val="en-US"/>
        </w:rPr>
        <w:t xml:space="preserve">adsorption capacity than </w:t>
      </w:r>
      <w:r>
        <w:rPr>
          <w:szCs w:val="21"/>
          <w:lang w:val="en-US"/>
        </w:rPr>
        <w:t>the</w:t>
      </w:r>
      <w:r w:rsidR="00891F5A">
        <w:rPr>
          <w:szCs w:val="21"/>
          <w:lang w:val="en-US"/>
        </w:rPr>
        <w:t>ir related</w:t>
      </w:r>
      <w:r>
        <w:rPr>
          <w:szCs w:val="21"/>
          <w:lang w:val="en-US"/>
        </w:rPr>
        <w:t xml:space="preserve"> waste </w:t>
      </w:r>
      <w:proofErr w:type="spellStart"/>
      <w:r>
        <w:rPr>
          <w:szCs w:val="21"/>
          <w:lang w:val="en-US"/>
        </w:rPr>
        <w:t>biochars</w:t>
      </w:r>
      <w:proofErr w:type="spellEnd"/>
      <w:r w:rsidR="00891F5A">
        <w:rPr>
          <w:szCs w:val="21"/>
          <w:lang w:val="en-US"/>
        </w:rPr>
        <w:t xml:space="preserve">. </w:t>
      </w:r>
      <w:r w:rsidR="00EC0F7D" w:rsidRPr="00EC0F7D">
        <w:rPr>
          <w:szCs w:val="21"/>
          <w:lang w:val="en-US"/>
        </w:rPr>
        <w:t>The superior performance of the proteins chars</w:t>
      </w:r>
      <w:r w:rsidR="00EC0F7D">
        <w:rPr>
          <w:szCs w:val="21"/>
          <w:lang w:val="en-US"/>
        </w:rPr>
        <w:t>, especially those</w:t>
      </w:r>
      <w:r w:rsidR="00EC0F7D" w:rsidRPr="00EC0F7D">
        <w:rPr>
          <w:szCs w:val="21"/>
          <w:lang w:val="en-US"/>
        </w:rPr>
        <w:t xml:space="preserve"> produced at 750 ºC</w:t>
      </w:r>
      <w:r w:rsidR="00EC0F7D">
        <w:rPr>
          <w:szCs w:val="21"/>
          <w:lang w:val="en-US"/>
        </w:rPr>
        <w:t>,</w:t>
      </w:r>
      <w:r w:rsidR="00EC0F7D" w:rsidRPr="00EC0F7D">
        <w:rPr>
          <w:szCs w:val="21"/>
          <w:lang w:val="en-US"/>
        </w:rPr>
        <w:t xml:space="preserve"> </w:t>
      </w:r>
      <w:proofErr w:type="spellStart"/>
      <w:r w:rsidR="00EC0F7D" w:rsidRPr="00EC0F7D">
        <w:rPr>
          <w:szCs w:val="21"/>
          <w:lang w:val="en-US"/>
        </w:rPr>
        <w:t>can not</w:t>
      </w:r>
      <w:proofErr w:type="spellEnd"/>
      <w:r w:rsidR="00EC0F7D" w:rsidRPr="00EC0F7D">
        <w:rPr>
          <w:szCs w:val="21"/>
          <w:lang w:val="en-US"/>
        </w:rPr>
        <w:t xml:space="preserve"> be explained by solely considering either the S</w:t>
      </w:r>
      <w:r w:rsidR="00EC0F7D" w:rsidRPr="00EC0F7D">
        <w:rPr>
          <w:szCs w:val="21"/>
          <w:vertAlign w:val="subscript"/>
          <w:lang w:val="en-US"/>
        </w:rPr>
        <w:t>BET</w:t>
      </w:r>
      <w:r w:rsidR="00EC0F7D" w:rsidRPr="00EC0F7D">
        <w:rPr>
          <w:szCs w:val="21"/>
          <w:lang w:val="en-US"/>
        </w:rPr>
        <w:t xml:space="preserve"> (which was almost zero in most cases</w:t>
      </w:r>
      <w:r w:rsidR="00EC0F7D">
        <w:rPr>
          <w:szCs w:val="21"/>
          <w:lang w:val="en-US"/>
        </w:rPr>
        <w:t xml:space="preserve"> when involving N</w:t>
      </w:r>
      <w:r w:rsidR="00EC0F7D" w:rsidRPr="00EC0F7D">
        <w:rPr>
          <w:szCs w:val="21"/>
          <w:vertAlign w:val="subscript"/>
          <w:lang w:val="en-US"/>
        </w:rPr>
        <w:t>2</w:t>
      </w:r>
      <w:r w:rsidR="00EC0F7D">
        <w:rPr>
          <w:szCs w:val="21"/>
          <w:lang w:val="en-US"/>
        </w:rPr>
        <w:t>-adsorption</w:t>
      </w:r>
      <w:r w:rsidR="00EC0F7D" w:rsidRPr="00EC0F7D">
        <w:rPr>
          <w:szCs w:val="21"/>
          <w:lang w:val="en-US"/>
        </w:rPr>
        <w:t xml:space="preserve">) or the N content (which decreased with pyrolysis temperature). </w:t>
      </w:r>
      <w:r w:rsidR="00EC0F7D">
        <w:rPr>
          <w:szCs w:val="21"/>
          <w:lang w:val="en-US"/>
        </w:rPr>
        <w:t>O</w:t>
      </w:r>
      <w:r w:rsidR="00EC0F7D" w:rsidRPr="00EC0F7D">
        <w:rPr>
          <w:szCs w:val="21"/>
          <w:lang w:val="en-US"/>
        </w:rPr>
        <w:t xml:space="preserve">ther concepts such as the TVFM (theory for the volume filling of </w:t>
      </w:r>
      <w:proofErr w:type="spellStart"/>
      <w:r w:rsidR="00EC0F7D" w:rsidRPr="00EC0F7D">
        <w:rPr>
          <w:szCs w:val="21"/>
          <w:lang w:val="en-US"/>
        </w:rPr>
        <w:t>micropores</w:t>
      </w:r>
      <w:proofErr w:type="spellEnd"/>
      <w:r w:rsidR="00EC0F7D" w:rsidRPr="00EC0F7D">
        <w:rPr>
          <w:szCs w:val="21"/>
          <w:lang w:val="en-US"/>
        </w:rPr>
        <w:t xml:space="preserve">) approach by </w:t>
      </w:r>
      <w:proofErr w:type="spellStart"/>
      <w:r w:rsidR="00EC0F7D" w:rsidRPr="00EC0F7D">
        <w:rPr>
          <w:szCs w:val="21"/>
          <w:lang w:val="en-US"/>
        </w:rPr>
        <w:t>Dubinin</w:t>
      </w:r>
      <w:proofErr w:type="spellEnd"/>
      <w:r w:rsidR="00EC0F7D">
        <w:rPr>
          <w:szCs w:val="21"/>
          <w:lang w:val="en-US"/>
        </w:rPr>
        <w:t xml:space="preserve"> should be considered for a better interpretation of the results.</w:t>
      </w:r>
    </w:p>
    <w:p w14:paraId="4FF1B6C5" w14:textId="66C22058" w:rsidR="0047067C" w:rsidRPr="00FB6A81" w:rsidRDefault="00694B73" w:rsidP="00694B73">
      <w:pPr>
        <w:rPr>
          <w:lang w:val="en-US"/>
        </w:rPr>
      </w:pPr>
      <w:r w:rsidRPr="00694B73">
        <w:rPr>
          <w:lang w:val="en-US"/>
        </w:rPr>
        <w:t>It is still not clear what is needed to produce an efficient CO</w:t>
      </w:r>
      <w:r w:rsidRPr="00EC0F7D">
        <w:rPr>
          <w:vertAlign w:val="subscript"/>
          <w:lang w:val="en-US"/>
        </w:rPr>
        <w:t>2</w:t>
      </w:r>
      <w:r w:rsidRPr="00694B73">
        <w:rPr>
          <w:lang w:val="en-US"/>
        </w:rPr>
        <w:t>-adsorbing char (without further activation steps)</w:t>
      </w:r>
      <w:proofErr w:type="gramStart"/>
      <w:r w:rsidRPr="00694B73">
        <w:rPr>
          <w:lang w:val="en-US"/>
        </w:rPr>
        <w:t>,</w:t>
      </w:r>
      <w:proofErr w:type="gramEnd"/>
      <w:r w:rsidRPr="00694B73">
        <w:rPr>
          <w:lang w:val="en-US"/>
        </w:rPr>
        <w:t xml:space="preserve"> pointing th</w:t>
      </w:r>
      <w:r w:rsidR="00EC0F7D">
        <w:rPr>
          <w:lang w:val="en-US"/>
        </w:rPr>
        <w:t>at more work is needed to study the interactions with other macro-components present in the animal wastes</w:t>
      </w:r>
      <w:r w:rsidRPr="00694B73">
        <w:rPr>
          <w:lang w:val="en-US"/>
        </w:rPr>
        <w:t>.</w:t>
      </w:r>
    </w:p>
    <w:p w14:paraId="06FD8C78" w14:textId="77777777" w:rsidR="0047067C" w:rsidRPr="00C9181F" w:rsidRDefault="00FB6A81" w:rsidP="00C9181F">
      <w:pPr>
        <w:pStyle w:val="Paragrafononnumerato"/>
      </w:pPr>
      <w:r w:rsidRPr="00C9181F">
        <w:t>A</w:t>
      </w:r>
      <w:r w:rsidR="008164A6">
        <w:t>C</w:t>
      </w:r>
      <w:r w:rsidRPr="00C9181F">
        <w:t>KNOWLEDGEMENTS</w:t>
      </w:r>
    </w:p>
    <w:p w14:paraId="70F5927F" w14:textId="679F4F0D" w:rsidR="00D871E1" w:rsidRDefault="00D871E1" w:rsidP="00D871E1">
      <w:pPr>
        <w:pStyle w:val="TITLE2"/>
        <w:spacing w:before="0" w:after="0"/>
        <w:ind w:firstLine="284"/>
        <w:rPr>
          <w:b w:val="0"/>
          <w:color w:val="auto"/>
          <w:szCs w:val="20"/>
          <w:lang w:val="en-US"/>
        </w:rPr>
      </w:pPr>
      <w:r w:rsidRPr="00D871E1">
        <w:rPr>
          <w:b w:val="0"/>
          <w:color w:val="auto"/>
          <w:szCs w:val="20"/>
          <w:lang w:val="en-US"/>
        </w:rPr>
        <w:t xml:space="preserve">The authors would like to acknowledge the use of the </w:t>
      </w:r>
      <w:proofErr w:type="spellStart"/>
      <w:r w:rsidRPr="00D871E1">
        <w:rPr>
          <w:b w:val="0"/>
          <w:color w:val="auto"/>
          <w:szCs w:val="20"/>
          <w:lang w:val="en-US"/>
        </w:rPr>
        <w:t>Servicio</w:t>
      </w:r>
      <w:proofErr w:type="spellEnd"/>
      <w:r w:rsidRPr="00D871E1">
        <w:rPr>
          <w:b w:val="0"/>
          <w:color w:val="auto"/>
          <w:szCs w:val="20"/>
          <w:lang w:val="en-US"/>
        </w:rPr>
        <w:t xml:space="preserve"> General de </w:t>
      </w:r>
      <w:proofErr w:type="spellStart"/>
      <w:r w:rsidRPr="00D871E1">
        <w:rPr>
          <w:b w:val="0"/>
          <w:color w:val="auto"/>
          <w:szCs w:val="20"/>
          <w:lang w:val="en-US"/>
        </w:rPr>
        <w:t>Apoyo</w:t>
      </w:r>
      <w:proofErr w:type="spellEnd"/>
      <w:r w:rsidRPr="00D871E1">
        <w:rPr>
          <w:b w:val="0"/>
          <w:color w:val="auto"/>
          <w:szCs w:val="20"/>
          <w:lang w:val="en-US"/>
        </w:rPr>
        <w:t xml:space="preserve"> a la </w:t>
      </w:r>
      <w:proofErr w:type="spellStart"/>
      <w:r w:rsidRPr="00D871E1">
        <w:rPr>
          <w:b w:val="0"/>
          <w:color w:val="auto"/>
          <w:szCs w:val="20"/>
          <w:lang w:val="en-US"/>
        </w:rPr>
        <w:t>Investigación</w:t>
      </w:r>
      <w:proofErr w:type="spellEnd"/>
      <w:r w:rsidRPr="00D871E1">
        <w:rPr>
          <w:b w:val="0"/>
          <w:color w:val="auto"/>
          <w:szCs w:val="20"/>
          <w:lang w:val="en-US"/>
        </w:rPr>
        <w:t xml:space="preserve">- Universidad de Zaragoza. The authors would also like to express their gratitude to the Aragon Government and European Social Fund (Ref. T22-17R) and to </w:t>
      </w:r>
      <w:proofErr w:type="spellStart"/>
      <w:r w:rsidRPr="00D871E1">
        <w:rPr>
          <w:b w:val="0"/>
          <w:color w:val="auto"/>
          <w:szCs w:val="20"/>
          <w:lang w:val="en-US"/>
        </w:rPr>
        <w:t>Agencia</w:t>
      </w:r>
      <w:proofErr w:type="spellEnd"/>
      <w:r w:rsidRPr="00D871E1">
        <w:rPr>
          <w:b w:val="0"/>
          <w:color w:val="auto"/>
          <w:szCs w:val="20"/>
          <w:lang w:val="en-US"/>
        </w:rPr>
        <w:t xml:space="preserve"> </w:t>
      </w:r>
      <w:proofErr w:type="spellStart"/>
      <w:r w:rsidRPr="00D871E1">
        <w:rPr>
          <w:b w:val="0"/>
          <w:color w:val="auto"/>
          <w:szCs w:val="20"/>
          <w:lang w:val="en-US"/>
        </w:rPr>
        <w:t>Estatal</w:t>
      </w:r>
      <w:proofErr w:type="spellEnd"/>
      <w:r w:rsidRPr="00D871E1">
        <w:rPr>
          <w:b w:val="0"/>
          <w:color w:val="auto"/>
          <w:szCs w:val="20"/>
          <w:lang w:val="en-US"/>
        </w:rPr>
        <w:t xml:space="preserve"> de </w:t>
      </w:r>
      <w:proofErr w:type="spellStart"/>
      <w:r w:rsidRPr="00D871E1">
        <w:rPr>
          <w:b w:val="0"/>
          <w:color w:val="auto"/>
          <w:szCs w:val="20"/>
          <w:lang w:val="en-US"/>
        </w:rPr>
        <w:t>Investigación</w:t>
      </w:r>
      <w:proofErr w:type="spellEnd"/>
      <w:r w:rsidRPr="00D871E1">
        <w:rPr>
          <w:b w:val="0"/>
          <w:color w:val="auto"/>
          <w:szCs w:val="20"/>
          <w:lang w:val="en-US"/>
        </w:rPr>
        <w:t xml:space="preserve"> </w:t>
      </w:r>
      <w:r>
        <w:rPr>
          <w:b w:val="0"/>
          <w:color w:val="auto"/>
          <w:szCs w:val="20"/>
          <w:lang w:val="en-US"/>
        </w:rPr>
        <w:t xml:space="preserve">in Spain </w:t>
      </w:r>
      <w:r w:rsidRPr="00D871E1">
        <w:rPr>
          <w:b w:val="0"/>
          <w:color w:val="auto"/>
          <w:szCs w:val="20"/>
          <w:lang w:val="en-US"/>
        </w:rPr>
        <w:t xml:space="preserve">(Project PID2019-107200RB-I00) for financial support. </w:t>
      </w:r>
    </w:p>
    <w:p w14:paraId="2652EF8E" w14:textId="642C03DC" w:rsidR="0047067C" w:rsidRPr="00795B22" w:rsidRDefault="0047067C" w:rsidP="0047067C">
      <w:pPr>
        <w:pStyle w:val="TITLE2"/>
        <w:rPr>
          <w:rFonts w:cs="Arial"/>
          <w:color w:val="FF0000"/>
          <w:sz w:val="23"/>
          <w:szCs w:val="23"/>
          <w:lang w:val="en-US"/>
        </w:rPr>
      </w:pPr>
      <w:r w:rsidRPr="00C9181F">
        <w:rPr>
          <w:rStyle w:val="ParagrafononnumeratoChar"/>
          <w:b/>
        </w:rPr>
        <w:t xml:space="preserve">REFERENCES </w:t>
      </w:r>
    </w:p>
    <w:p w14:paraId="2EC21BDC" w14:textId="06A354CE" w:rsidR="00371D5B" w:rsidRPr="00371D5B" w:rsidRDefault="00B57377" w:rsidP="00371D5B">
      <w:pPr>
        <w:autoSpaceDE w:val="0"/>
        <w:autoSpaceDN w:val="0"/>
        <w:adjustRightInd w:val="0"/>
        <w:spacing w:line="240" w:lineRule="auto"/>
        <w:ind w:left="480" w:hanging="480"/>
        <w:rPr>
          <w:rFonts w:cs="Arial"/>
          <w:noProof/>
          <w:sz w:val="20"/>
          <w:szCs w:val="24"/>
        </w:rPr>
      </w:pPr>
      <w:r>
        <w:rPr>
          <w:color w:val="000000"/>
          <w:sz w:val="19"/>
          <w:szCs w:val="19"/>
          <w:highlight w:val="yellow"/>
        </w:rPr>
        <w:fldChar w:fldCharType="begin" w:fldLock="1"/>
      </w:r>
      <w:r>
        <w:rPr>
          <w:color w:val="000000"/>
          <w:sz w:val="19"/>
          <w:szCs w:val="19"/>
          <w:highlight w:val="yellow"/>
        </w:rPr>
        <w:instrText xml:space="preserve">ADDIN Mendeley Bibliography CSL_BIBLIOGRAPHY </w:instrText>
      </w:r>
      <w:r>
        <w:rPr>
          <w:color w:val="000000"/>
          <w:sz w:val="19"/>
          <w:szCs w:val="19"/>
          <w:highlight w:val="yellow"/>
        </w:rPr>
        <w:fldChar w:fldCharType="separate"/>
      </w:r>
      <w:r w:rsidR="00371D5B" w:rsidRPr="00371D5B">
        <w:rPr>
          <w:rFonts w:cs="Arial"/>
          <w:noProof/>
          <w:sz w:val="20"/>
          <w:szCs w:val="24"/>
        </w:rPr>
        <w:t xml:space="preserve">Chen, J., Jiang, X., Tang, X., Sun, Y., &amp; Zhou, L. (2021). Use of biochar/persulfate for accelerating the stabilization process and improving nitrogen stability of animal waste digestate. </w:t>
      </w:r>
      <w:r w:rsidR="00371D5B" w:rsidRPr="00371D5B">
        <w:rPr>
          <w:rFonts w:cs="Arial"/>
          <w:i/>
          <w:iCs/>
          <w:noProof/>
          <w:sz w:val="20"/>
          <w:szCs w:val="24"/>
        </w:rPr>
        <w:t>Science of the Total Environment</w:t>
      </w:r>
      <w:r w:rsidR="00371D5B" w:rsidRPr="00371D5B">
        <w:rPr>
          <w:rFonts w:cs="Arial"/>
          <w:noProof/>
          <w:sz w:val="20"/>
          <w:szCs w:val="24"/>
        </w:rPr>
        <w:t xml:space="preserve">, </w:t>
      </w:r>
      <w:r w:rsidR="00371D5B" w:rsidRPr="00371D5B">
        <w:rPr>
          <w:rFonts w:cs="Arial"/>
          <w:i/>
          <w:iCs/>
          <w:noProof/>
          <w:sz w:val="20"/>
          <w:szCs w:val="24"/>
        </w:rPr>
        <w:t>757</w:t>
      </w:r>
      <w:r w:rsidR="00371D5B" w:rsidRPr="00371D5B">
        <w:rPr>
          <w:rFonts w:cs="Arial"/>
          <w:noProof/>
          <w:sz w:val="20"/>
          <w:szCs w:val="24"/>
        </w:rPr>
        <w:t>, 144158. https://doi.org/10.1016/j.scitotenv.2020.144158</w:t>
      </w:r>
    </w:p>
    <w:p w14:paraId="67B3A04F" w14:textId="77777777" w:rsidR="00371D5B" w:rsidRPr="00371D5B" w:rsidRDefault="00371D5B" w:rsidP="00371D5B">
      <w:pPr>
        <w:autoSpaceDE w:val="0"/>
        <w:autoSpaceDN w:val="0"/>
        <w:adjustRightInd w:val="0"/>
        <w:spacing w:line="240" w:lineRule="auto"/>
        <w:ind w:left="480" w:hanging="480"/>
        <w:rPr>
          <w:rFonts w:cs="Arial"/>
          <w:noProof/>
          <w:sz w:val="20"/>
          <w:szCs w:val="24"/>
        </w:rPr>
      </w:pPr>
      <w:r w:rsidRPr="00371D5B">
        <w:rPr>
          <w:rFonts w:cs="Arial"/>
          <w:noProof/>
          <w:sz w:val="20"/>
          <w:szCs w:val="24"/>
        </w:rPr>
        <w:t xml:space="preserve">Dissanayake, P. D., You, S., Igalavithana, A. D., Xia, Y., Bhatnagar, A., Gupta, S., Kua, H. W., Kim, S., Kwon, J. H., Tsang, D. C. W., &amp; Ok, Y. S. (2020). Biochar-based adsorbents for carbon dioxide capture: A critical review. </w:t>
      </w:r>
      <w:r w:rsidRPr="00371D5B">
        <w:rPr>
          <w:rFonts w:cs="Arial"/>
          <w:i/>
          <w:iCs/>
          <w:noProof/>
          <w:sz w:val="20"/>
          <w:szCs w:val="24"/>
        </w:rPr>
        <w:t>Renewable and Sustainable Energy Reviews</w:t>
      </w:r>
      <w:r w:rsidRPr="00371D5B">
        <w:rPr>
          <w:rFonts w:cs="Arial"/>
          <w:noProof/>
          <w:sz w:val="20"/>
          <w:szCs w:val="24"/>
        </w:rPr>
        <w:t xml:space="preserve">, </w:t>
      </w:r>
      <w:r w:rsidRPr="00371D5B">
        <w:rPr>
          <w:rFonts w:cs="Arial"/>
          <w:i/>
          <w:iCs/>
          <w:noProof/>
          <w:sz w:val="20"/>
          <w:szCs w:val="24"/>
        </w:rPr>
        <w:t>119</w:t>
      </w:r>
      <w:r w:rsidRPr="00371D5B">
        <w:rPr>
          <w:rFonts w:cs="Arial"/>
          <w:noProof/>
          <w:sz w:val="20"/>
          <w:szCs w:val="24"/>
        </w:rPr>
        <w:t>, 109582. https://doi.org/10.1016/j.rser.2019.109582</w:t>
      </w:r>
    </w:p>
    <w:p w14:paraId="7119EB49" w14:textId="77777777" w:rsidR="00371D5B" w:rsidRPr="00371D5B" w:rsidRDefault="00371D5B" w:rsidP="00371D5B">
      <w:pPr>
        <w:autoSpaceDE w:val="0"/>
        <w:autoSpaceDN w:val="0"/>
        <w:adjustRightInd w:val="0"/>
        <w:spacing w:line="240" w:lineRule="auto"/>
        <w:ind w:left="480" w:hanging="480"/>
        <w:rPr>
          <w:rFonts w:cs="Arial"/>
          <w:noProof/>
          <w:sz w:val="20"/>
          <w:szCs w:val="24"/>
        </w:rPr>
      </w:pPr>
      <w:r w:rsidRPr="00371D5B">
        <w:rPr>
          <w:rFonts w:cs="Arial"/>
          <w:noProof/>
          <w:sz w:val="20"/>
          <w:szCs w:val="24"/>
        </w:rPr>
        <w:t xml:space="preserve">Dubinin, M. M. (1989). Fundamentals of the theory of adsorption in micropores of carbon adsorbents: Characteristics of their adsorption properties and microporous structures. </w:t>
      </w:r>
      <w:r w:rsidRPr="00371D5B">
        <w:rPr>
          <w:rFonts w:cs="Arial"/>
          <w:i/>
          <w:iCs/>
          <w:noProof/>
          <w:sz w:val="20"/>
          <w:szCs w:val="24"/>
        </w:rPr>
        <w:t>Carbon</w:t>
      </w:r>
      <w:r w:rsidRPr="00371D5B">
        <w:rPr>
          <w:rFonts w:cs="Arial"/>
          <w:noProof/>
          <w:sz w:val="20"/>
          <w:szCs w:val="24"/>
        </w:rPr>
        <w:t xml:space="preserve">, </w:t>
      </w:r>
      <w:r w:rsidRPr="00371D5B">
        <w:rPr>
          <w:rFonts w:cs="Arial"/>
          <w:i/>
          <w:iCs/>
          <w:noProof/>
          <w:sz w:val="20"/>
          <w:szCs w:val="24"/>
        </w:rPr>
        <w:t>27</w:t>
      </w:r>
      <w:r w:rsidRPr="00371D5B">
        <w:rPr>
          <w:rFonts w:cs="Arial"/>
          <w:noProof/>
          <w:sz w:val="20"/>
          <w:szCs w:val="24"/>
        </w:rPr>
        <w:t>(3), 457–467. https://doi.org/10.1016/0008-6223(89)90078-X</w:t>
      </w:r>
    </w:p>
    <w:p w14:paraId="0A6441A4" w14:textId="77777777" w:rsidR="00371D5B" w:rsidRPr="00371D5B" w:rsidRDefault="00371D5B" w:rsidP="00371D5B">
      <w:pPr>
        <w:autoSpaceDE w:val="0"/>
        <w:autoSpaceDN w:val="0"/>
        <w:adjustRightInd w:val="0"/>
        <w:spacing w:line="240" w:lineRule="auto"/>
        <w:ind w:left="480" w:hanging="480"/>
        <w:rPr>
          <w:rFonts w:cs="Arial"/>
          <w:noProof/>
          <w:sz w:val="20"/>
          <w:szCs w:val="24"/>
        </w:rPr>
      </w:pPr>
      <w:r w:rsidRPr="00371D5B">
        <w:rPr>
          <w:rFonts w:cs="Arial"/>
          <w:noProof/>
          <w:sz w:val="20"/>
          <w:szCs w:val="24"/>
        </w:rPr>
        <w:t xml:space="preserve">Jagiello, J., Kenvin, J., Celzard, A., &amp; Fierro, V. (2019). Enhanced resolution of ultra micropore size determination of biochars and activated carbons by dual gas analysis using N2 and CO2 with 2D-NLDFT adsorption models. </w:t>
      </w:r>
      <w:r w:rsidRPr="00371D5B">
        <w:rPr>
          <w:rFonts w:cs="Arial"/>
          <w:i/>
          <w:iCs/>
          <w:noProof/>
          <w:sz w:val="20"/>
          <w:szCs w:val="24"/>
        </w:rPr>
        <w:t>Carbon</w:t>
      </w:r>
      <w:r w:rsidRPr="00371D5B">
        <w:rPr>
          <w:rFonts w:cs="Arial"/>
          <w:noProof/>
          <w:sz w:val="20"/>
          <w:szCs w:val="24"/>
        </w:rPr>
        <w:t xml:space="preserve">, </w:t>
      </w:r>
      <w:r w:rsidRPr="00371D5B">
        <w:rPr>
          <w:rFonts w:cs="Arial"/>
          <w:i/>
          <w:iCs/>
          <w:noProof/>
          <w:sz w:val="20"/>
          <w:szCs w:val="24"/>
        </w:rPr>
        <w:t>144</w:t>
      </w:r>
      <w:r w:rsidRPr="00371D5B">
        <w:rPr>
          <w:rFonts w:cs="Arial"/>
          <w:noProof/>
          <w:sz w:val="20"/>
          <w:szCs w:val="24"/>
        </w:rPr>
        <w:t>, 206–215. https://doi.org/10.1016/j.carbon.2018.12.028</w:t>
      </w:r>
    </w:p>
    <w:p w14:paraId="4336D644" w14:textId="77777777" w:rsidR="00371D5B" w:rsidRPr="00371D5B" w:rsidRDefault="00371D5B" w:rsidP="00371D5B">
      <w:pPr>
        <w:autoSpaceDE w:val="0"/>
        <w:autoSpaceDN w:val="0"/>
        <w:adjustRightInd w:val="0"/>
        <w:spacing w:line="240" w:lineRule="auto"/>
        <w:ind w:left="480" w:hanging="480"/>
        <w:rPr>
          <w:rFonts w:cs="Arial"/>
          <w:noProof/>
          <w:sz w:val="20"/>
          <w:szCs w:val="24"/>
        </w:rPr>
      </w:pPr>
      <w:r w:rsidRPr="00371D5B">
        <w:rPr>
          <w:rFonts w:cs="Arial"/>
          <w:noProof/>
          <w:sz w:val="20"/>
          <w:szCs w:val="24"/>
        </w:rPr>
        <w:t xml:space="preserve">Leng, L., Xu, S., Liu, R., Yu, T., Zhuo, X., Leng, S., Xiong, Q., &amp; Huang, H. (2019). Nitrogen containing functional groups of biochar: An overview. </w:t>
      </w:r>
      <w:r w:rsidRPr="00371D5B">
        <w:rPr>
          <w:rFonts w:cs="Arial"/>
          <w:i/>
          <w:iCs/>
          <w:noProof/>
          <w:sz w:val="20"/>
          <w:szCs w:val="24"/>
        </w:rPr>
        <w:t>Bioresource Technology</w:t>
      </w:r>
      <w:r w:rsidRPr="00371D5B">
        <w:rPr>
          <w:rFonts w:cs="Arial"/>
          <w:noProof/>
          <w:sz w:val="20"/>
          <w:szCs w:val="24"/>
        </w:rPr>
        <w:t xml:space="preserve">, </w:t>
      </w:r>
      <w:r w:rsidRPr="00371D5B">
        <w:rPr>
          <w:rFonts w:cs="Arial"/>
          <w:i/>
          <w:iCs/>
          <w:noProof/>
          <w:sz w:val="20"/>
          <w:szCs w:val="24"/>
        </w:rPr>
        <w:t>298</w:t>
      </w:r>
      <w:r w:rsidRPr="00371D5B">
        <w:rPr>
          <w:rFonts w:cs="Arial"/>
          <w:noProof/>
          <w:sz w:val="20"/>
          <w:szCs w:val="24"/>
        </w:rPr>
        <w:t>. https://doi.org/10.1016/j.biortech.2019.122286</w:t>
      </w:r>
    </w:p>
    <w:p w14:paraId="29C6D68E" w14:textId="77777777" w:rsidR="00371D5B" w:rsidRPr="00371D5B" w:rsidRDefault="00371D5B" w:rsidP="00371D5B">
      <w:pPr>
        <w:autoSpaceDE w:val="0"/>
        <w:autoSpaceDN w:val="0"/>
        <w:adjustRightInd w:val="0"/>
        <w:spacing w:line="240" w:lineRule="auto"/>
        <w:ind w:left="480" w:hanging="480"/>
        <w:rPr>
          <w:rFonts w:cs="Arial"/>
          <w:noProof/>
          <w:sz w:val="20"/>
          <w:szCs w:val="24"/>
        </w:rPr>
      </w:pPr>
      <w:r w:rsidRPr="00371D5B">
        <w:rPr>
          <w:rFonts w:cs="Arial"/>
          <w:noProof/>
          <w:sz w:val="20"/>
          <w:szCs w:val="24"/>
        </w:rPr>
        <w:t xml:space="preserve">Mulu, E., M’Arimi, M. M., &amp; Ramkat, R. C. (2021). A review of recent developments in application of low cost natural materials in purification and upgrade of biogas. </w:t>
      </w:r>
      <w:r w:rsidRPr="00371D5B">
        <w:rPr>
          <w:rFonts w:cs="Arial"/>
          <w:i/>
          <w:iCs/>
          <w:noProof/>
          <w:sz w:val="20"/>
          <w:szCs w:val="24"/>
        </w:rPr>
        <w:t>Renewable and Sustainable Energy Reviews</w:t>
      </w:r>
      <w:r w:rsidRPr="00371D5B">
        <w:rPr>
          <w:rFonts w:cs="Arial"/>
          <w:noProof/>
          <w:sz w:val="20"/>
          <w:szCs w:val="24"/>
        </w:rPr>
        <w:t xml:space="preserve">, </w:t>
      </w:r>
      <w:r w:rsidRPr="00371D5B">
        <w:rPr>
          <w:rFonts w:cs="Arial"/>
          <w:i/>
          <w:iCs/>
          <w:noProof/>
          <w:sz w:val="20"/>
          <w:szCs w:val="24"/>
        </w:rPr>
        <w:t>145</w:t>
      </w:r>
      <w:r w:rsidRPr="00371D5B">
        <w:rPr>
          <w:rFonts w:cs="Arial"/>
          <w:noProof/>
          <w:sz w:val="20"/>
          <w:szCs w:val="24"/>
        </w:rPr>
        <w:t>, 111081. https://doi.org/10.1016/j.rser.2021.111081</w:t>
      </w:r>
    </w:p>
    <w:p w14:paraId="4C21D5FC" w14:textId="77777777" w:rsidR="00371D5B" w:rsidRPr="00371D5B" w:rsidRDefault="00371D5B" w:rsidP="00371D5B">
      <w:pPr>
        <w:autoSpaceDE w:val="0"/>
        <w:autoSpaceDN w:val="0"/>
        <w:adjustRightInd w:val="0"/>
        <w:spacing w:line="240" w:lineRule="auto"/>
        <w:ind w:left="480" w:hanging="480"/>
        <w:rPr>
          <w:rFonts w:cs="Arial"/>
          <w:noProof/>
          <w:sz w:val="20"/>
          <w:szCs w:val="24"/>
        </w:rPr>
      </w:pPr>
      <w:r w:rsidRPr="00371D5B">
        <w:rPr>
          <w:rFonts w:cs="Arial"/>
          <w:noProof/>
          <w:sz w:val="20"/>
          <w:szCs w:val="24"/>
        </w:rPr>
        <w:t xml:space="preserve">Qiao, Y., Zhang, S., Quan, C., Gao, N., Johnston, C., &amp; Wu, C. (2020). One-pot synthesis of digestate-derived biochar for carbon dioxide capture. </w:t>
      </w:r>
      <w:r w:rsidRPr="00371D5B">
        <w:rPr>
          <w:rFonts w:cs="Arial"/>
          <w:i/>
          <w:iCs/>
          <w:noProof/>
          <w:sz w:val="20"/>
          <w:szCs w:val="24"/>
        </w:rPr>
        <w:t>Fuel</w:t>
      </w:r>
      <w:r w:rsidRPr="00371D5B">
        <w:rPr>
          <w:rFonts w:cs="Arial"/>
          <w:noProof/>
          <w:sz w:val="20"/>
          <w:szCs w:val="24"/>
        </w:rPr>
        <w:t xml:space="preserve">, </w:t>
      </w:r>
      <w:r w:rsidRPr="00371D5B">
        <w:rPr>
          <w:rFonts w:cs="Arial"/>
          <w:i/>
          <w:iCs/>
          <w:noProof/>
          <w:sz w:val="20"/>
          <w:szCs w:val="24"/>
        </w:rPr>
        <w:t>279</w:t>
      </w:r>
      <w:r w:rsidRPr="00371D5B">
        <w:rPr>
          <w:rFonts w:cs="Arial"/>
          <w:noProof/>
          <w:sz w:val="20"/>
          <w:szCs w:val="24"/>
        </w:rPr>
        <w:t>, 118525. https://doi.org/10.1016/j.fuel.2020.118525</w:t>
      </w:r>
    </w:p>
    <w:p w14:paraId="491AFA90" w14:textId="77777777" w:rsidR="00371D5B" w:rsidRPr="00371D5B" w:rsidRDefault="00371D5B" w:rsidP="00371D5B">
      <w:pPr>
        <w:autoSpaceDE w:val="0"/>
        <w:autoSpaceDN w:val="0"/>
        <w:adjustRightInd w:val="0"/>
        <w:spacing w:line="240" w:lineRule="auto"/>
        <w:ind w:left="480" w:hanging="480"/>
        <w:rPr>
          <w:rFonts w:cs="Arial"/>
          <w:noProof/>
          <w:sz w:val="20"/>
          <w:szCs w:val="24"/>
        </w:rPr>
      </w:pPr>
      <w:r w:rsidRPr="00371D5B">
        <w:rPr>
          <w:rFonts w:cs="Arial"/>
          <w:noProof/>
          <w:sz w:val="20"/>
          <w:szCs w:val="24"/>
        </w:rPr>
        <w:t xml:space="preserve">Sánchez-Sánchez, C., González-González, A., Cuadros-Salcedo, F., &amp; Cuadros-Blázquez, F. (2018). Using low-cost porous materials to increase biogas production: A case study in Extremadura (Spain). </w:t>
      </w:r>
      <w:r w:rsidRPr="00371D5B">
        <w:rPr>
          <w:rFonts w:cs="Arial"/>
          <w:i/>
          <w:iCs/>
          <w:noProof/>
          <w:sz w:val="20"/>
          <w:szCs w:val="24"/>
        </w:rPr>
        <w:t>Journal of Cleaner Production</w:t>
      </w:r>
      <w:r w:rsidRPr="00371D5B">
        <w:rPr>
          <w:rFonts w:cs="Arial"/>
          <w:noProof/>
          <w:sz w:val="20"/>
          <w:szCs w:val="24"/>
        </w:rPr>
        <w:t xml:space="preserve">, </w:t>
      </w:r>
      <w:r w:rsidRPr="00371D5B">
        <w:rPr>
          <w:rFonts w:cs="Arial"/>
          <w:i/>
          <w:iCs/>
          <w:noProof/>
          <w:sz w:val="20"/>
          <w:szCs w:val="24"/>
        </w:rPr>
        <w:t>198</w:t>
      </w:r>
      <w:r w:rsidRPr="00371D5B">
        <w:rPr>
          <w:rFonts w:cs="Arial"/>
          <w:noProof/>
          <w:sz w:val="20"/>
          <w:szCs w:val="24"/>
        </w:rPr>
        <w:t>, 1165–1172. https://doi.org/10.1016/j.jclepro.2018.07.079</w:t>
      </w:r>
    </w:p>
    <w:p w14:paraId="2B0B543C" w14:textId="77777777" w:rsidR="00371D5B" w:rsidRPr="00371D5B" w:rsidRDefault="00371D5B" w:rsidP="00371D5B">
      <w:pPr>
        <w:autoSpaceDE w:val="0"/>
        <w:autoSpaceDN w:val="0"/>
        <w:adjustRightInd w:val="0"/>
        <w:spacing w:line="240" w:lineRule="auto"/>
        <w:ind w:left="480" w:hanging="480"/>
        <w:rPr>
          <w:rFonts w:cs="Arial"/>
          <w:noProof/>
          <w:sz w:val="20"/>
          <w:szCs w:val="24"/>
        </w:rPr>
      </w:pPr>
      <w:r w:rsidRPr="00371D5B">
        <w:rPr>
          <w:rFonts w:cs="Arial"/>
          <w:noProof/>
          <w:sz w:val="20"/>
          <w:szCs w:val="24"/>
        </w:rPr>
        <w:t xml:space="preserve">Sing, K. S. W. (1982). Reporting physisorption data for gas/solid systems with special reference to the determination of surface area and porosity. </w:t>
      </w:r>
      <w:r w:rsidRPr="00371D5B">
        <w:rPr>
          <w:rFonts w:cs="Arial"/>
          <w:i/>
          <w:iCs/>
          <w:noProof/>
          <w:sz w:val="20"/>
          <w:szCs w:val="24"/>
        </w:rPr>
        <w:t>Pure and Applied Chemistry</w:t>
      </w:r>
      <w:r w:rsidRPr="00371D5B">
        <w:rPr>
          <w:rFonts w:cs="Arial"/>
          <w:noProof/>
          <w:sz w:val="20"/>
          <w:szCs w:val="24"/>
        </w:rPr>
        <w:t xml:space="preserve">, </w:t>
      </w:r>
      <w:r w:rsidRPr="00371D5B">
        <w:rPr>
          <w:rFonts w:cs="Arial"/>
          <w:i/>
          <w:iCs/>
          <w:noProof/>
          <w:sz w:val="20"/>
          <w:szCs w:val="24"/>
        </w:rPr>
        <w:t>54</w:t>
      </w:r>
      <w:r w:rsidRPr="00371D5B">
        <w:rPr>
          <w:rFonts w:cs="Arial"/>
          <w:noProof/>
          <w:sz w:val="20"/>
          <w:szCs w:val="24"/>
        </w:rPr>
        <w:t>(11), 2201–2218. https://doi.org/doi.org/10.1351/pac198557040603</w:t>
      </w:r>
    </w:p>
    <w:p w14:paraId="6CAB472E" w14:textId="77777777" w:rsidR="00371D5B" w:rsidRPr="00371D5B" w:rsidRDefault="00371D5B" w:rsidP="00371D5B">
      <w:pPr>
        <w:autoSpaceDE w:val="0"/>
        <w:autoSpaceDN w:val="0"/>
        <w:adjustRightInd w:val="0"/>
        <w:spacing w:line="240" w:lineRule="auto"/>
        <w:ind w:left="480" w:hanging="480"/>
        <w:rPr>
          <w:rFonts w:cs="Arial"/>
          <w:noProof/>
          <w:sz w:val="20"/>
          <w:szCs w:val="24"/>
        </w:rPr>
      </w:pPr>
      <w:r w:rsidRPr="00371D5B">
        <w:rPr>
          <w:rFonts w:cs="Arial"/>
          <w:noProof/>
          <w:sz w:val="20"/>
          <w:szCs w:val="24"/>
        </w:rPr>
        <w:t xml:space="preserve">Ugwu, S. N., &amp; Enweremadu, C. C. (2020). Ranking of energy potentials of agro-industrial wastes: Bioconversion and thermo-conversion approach. </w:t>
      </w:r>
      <w:r w:rsidRPr="00371D5B">
        <w:rPr>
          <w:rFonts w:cs="Arial"/>
          <w:i/>
          <w:iCs/>
          <w:noProof/>
          <w:sz w:val="20"/>
          <w:szCs w:val="24"/>
        </w:rPr>
        <w:t>Energy Reports</w:t>
      </w:r>
      <w:r w:rsidRPr="00371D5B">
        <w:rPr>
          <w:rFonts w:cs="Arial"/>
          <w:noProof/>
          <w:sz w:val="20"/>
          <w:szCs w:val="24"/>
        </w:rPr>
        <w:t xml:space="preserve">, </w:t>
      </w:r>
      <w:r w:rsidRPr="00371D5B">
        <w:rPr>
          <w:rFonts w:cs="Arial"/>
          <w:i/>
          <w:iCs/>
          <w:noProof/>
          <w:sz w:val="20"/>
          <w:szCs w:val="24"/>
        </w:rPr>
        <w:t>6</w:t>
      </w:r>
      <w:r w:rsidRPr="00371D5B">
        <w:rPr>
          <w:rFonts w:cs="Arial"/>
          <w:noProof/>
          <w:sz w:val="20"/>
          <w:szCs w:val="24"/>
        </w:rPr>
        <w:t>, 2794–2802. https://doi.org/10.1016/j.egyr.2020.10.008</w:t>
      </w:r>
    </w:p>
    <w:p w14:paraId="01D69132" w14:textId="77777777" w:rsidR="00371D5B" w:rsidRPr="00371D5B" w:rsidRDefault="00371D5B" w:rsidP="00371D5B">
      <w:pPr>
        <w:autoSpaceDE w:val="0"/>
        <w:autoSpaceDN w:val="0"/>
        <w:adjustRightInd w:val="0"/>
        <w:spacing w:line="240" w:lineRule="auto"/>
        <w:ind w:left="480" w:hanging="480"/>
        <w:rPr>
          <w:rFonts w:cs="Arial"/>
          <w:noProof/>
          <w:sz w:val="20"/>
          <w:szCs w:val="24"/>
        </w:rPr>
      </w:pPr>
      <w:r w:rsidRPr="00371D5B">
        <w:rPr>
          <w:rFonts w:cs="Arial"/>
          <w:noProof/>
          <w:sz w:val="20"/>
          <w:szCs w:val="24"/>
        </w:rPr>
        <w:t xml:space="preserve">Ullah Khan, I., Hafiz Dzarfan Othman, M., Hashim, H., Matsuura, T., Ismail, A. F., Rezaei-DashtArzhandi, M., &amp; Wan Azelee, I. (2017). Biogas as a renewable energy fuel – A review of biogas upgrading, utilisation and storage. </w:t>
      </w:r>
      <w:r w:rsidRPr="00371D5B">
        <w:rPr>
          <w:rFonts w:cs="Arial"/>
          <w:i/>
          <w:iCs/>
          <w:noProof/>
          <w:sz w:val="20"/>
          <w:szCs w:val="24"/>
        </w:rPr>
        <w:t>Energy Conversion and Management</w:t>
      </w:r>
      <w:r w:rsidRPr="00371D5B">
        <w:rPr>
          <w:rFonts w:cs="Arial"/>
          <w:noProof/>
          <w:sz w:val="20"/>
          <w:szCs w:val="24"/>
        </w:rPr>
        <w:t xml:space="preserve">, </w:t>
      </w:r>
      <w:r w:rsidRPr="00371D5B">
        <w:rPr>
          <w:rFonts w:cs="Arial"/>
          <w:i/>
          <w:iCs/>
          <w:noProof/>
          <w:sz w:val="20"/>
          <w:szCs w:val="24"/>
        </w:rPr>
        <w:t>150</w:t>
      </w:r>
      <w:r w:rsidRPr="00371D5B">
        <w:rPr>
          <w:rFonts w:cs="Arial"/>
          <w:noProof/>
          <w:sz w:val="20"/>
          <w:szCs w:val="24"/>
        </w:rPr>
        <w:t>, 277–294. https://doi.org/10.1016/j.enconman.2017.08.035</w:t>
      </w:r>
    </w:p>
    <w:p w14:paraId="1F8CEAC8" w14:textId="77777777" w:rsidR="00371D5B" w:rsidRPr="00371D5B" w:rsidRDefault="00371D5B" w:rsidP="00371D5B">
      <w:pPr>
        <w:autoSpaceDE w:val="0"/>
        <w:autoSpaceDN w:val="0"/>
        <w:adjustRightInd w:val="0"/>
        <w:spacing w:line="240" w:lineRule="auto"/>
        <w:ind w:left="480" w:hanging="480"/>
        <w:rPr>
          <w:rFonts w:cs="Arial"/>
          <w:noProof/>
          <w:sz w:val="20"/>
          <w:szCs w:val="24"/>
        </w:rPr>
      </w:pPr>
      <w:r w:rsidRPr="00371D5B">
        <w:rPr>
          <w:rFonts w:cs="Arial"/>
          <w:noProof/>
          <w:sz w:val="20"/>
          <w:szCs w:val="24"/>
        </w:rPr>
        <w:lastRenderedPageBreak/>
        <w:t xml:space="preserve">Wu, X., Sun, Y., Deng, L., Meng, Q., Jiang, X., Bello, A., Sheng, S., Han, Y., Zhu, H., &amp; Xu, X. (2020). Insight to key diazotrophic community during composting of dairy manure with biochar and its role in nitrogen transformation. </w:t>
      </w:r>
      <w:r w:rsidRPr="00371D5B">
        <w:rPr>
          <w:rFonts w:cs="Arial"/>
          <w:i/>
          <w:iCs/>
          <w:noProof/>
          <w:sz w:val="20"/>
          <w:szCs w:val="24"/>
        </w:rPr>
        <w:t>Waste Management</w:t>
      </w:r>
      <w:r w:rsidRPr="00371D5B">
        <w:rPr>
          <w:rFonts w:cs="Arial"/>
          <w:noProof/>
          <w:sz w:val="20"/>
          <w:szCs w:val="24"/>
        </w:rPr>
        <w:t xml:space="preserve">, </w:t>
      </w:r>
      <w:r w:rsidRPr="00371D5B">
        <w:rPr>
          <w:rFonts w:cs="Arial"/>
          <w:i/>
          <w:iCs/>
          <w:noProof/>
          <w:sz w:val="20"/>
          <w:szCs w:val="24"/>
        </w:rPr>
        <w:t>105</w:t>
      </w:r>
      <w:r w:rsidRPr="00371D5B">
        <w:rPr>
          <w:rFonts w:cs="Arial"/>
          <w:noProof/>
          <w:sz w:val="20"/>
          <w:szCs w:val="24"/>
        </w:rPr>
        <w:t>, 190–197. https://doi.org/10.1016/j.wasman.2020.02.010</w:t>
      </w:r>
    </w:p>
    <w:p w14:paraId="7C17B64C" w14:textId="77777777" w:rsidR="00371D5B" w:rsidRPr="00371D5B" w:rsidRDefault="00371D5B" w:rsidP="00371D5B">
      <w:pPr>
        <w:autoSpaceDE w:val="0"/>
        <w:autoSpaceDN w:val="0"/>
        <w:adjustRightInd w:val="0"/>
        <w:spacing w:line="240" w:lineRule="auto"/>
        <w:ind w:left="480" w:hanging="480"/>
        <w:rPr>
          <w:rFonts w:cs="Arial"/>
          <w:noProof/>
          <w:sz w:val="20"/>
          <w:szCs w:val="24"/>
        </w:rPr>
      </w:pPr>
      <w:r w:rsidRPr="00371D5B">
        <w:rPr>
          <w:rFonts w:cs="Arial"/>
          <w:noProof/>
          <w:sz w:val="20"/>
          <w:szCs w:val="24"/>
        </w:rPr>
        <w:t xml:space="preserve">Yadav, K., &amp; Jagadevan, S. (2020). Influence of Process Parameters on Synthesis of Biochar by Pyrolysis of Biomass: An Alternative Source of Energy. In </w:t>
      </w:r>
      <w:r w:rsidRPr="00371D5B">
        <w:rPr>
          <w:rFonts w:cs="Arial"/>
          <w:i/>
          <w:iCs/>
          <w:noProof/>
          <w:sz w:val="20"/>
          <w:szCs w:val="24"/>
        </w:rPr>
        <w:t>Recent Advances in Pyrolysis</w:t>
      </w:r>
      <w:r w:rsidRPr="00371D5B">
        <w:rPr>
          <w:rFonts w:cs="Arial"/>
          <w:noProof/>
          <w:sz w:val="20"/>
          <w:szCs w:val="24"/>
        </w:rPr>
        <w:t>. IntechOpen. https://doi.org/10.5772/intechopen.88204</w:t>
      </w:r>
    </w:p>
    <w:p w14:paraId="34B988EE" w14:textId="77777777" w:rsidR="00371D5B" w:rsidRPr="00371D5B" w:rsidRDefault="00371D5B" w:rsidP="00371D5B">
      <w:pPr>
        <w:autoSpaceDE w:val="0"/>
        <w:autoSpaceDN w:val="0"/>
        <w:adjustRightInd w:val="0"/>
        <w:spacing w:line="240" w:lineRule="auto"/>
        <w:ind w:left="480" w:hanging="480"/>
        <w:rPr>
          <w:rFonts w:cs="Arial"/>
          <w:noProof/>
          <w:sz w:val="20"/>
        </w:rPr>
      </w:pPr>
      <w:r w:rsidRPr="00371D5B">
        <w:rPr>
          <w:rFonts w:cs="Arial"/>
          <w:noProof/>
          <w:sz w:val="20"/>
          <w:szCs w:val="24"/>
        </w:rPr>
        <w:t xml:space="preserve">Zhang, C., Song, W., Sun, G., Xie, L., Wang, J., Li, K., Sun, C., Liu, H., Snape, C. E., &amp; Drage, T. (2013). CO2 capture with activated carbon grafted by nitrogenous functional groups. </w:t>
      </w:r>
      <w:r w:rsidRPr="00371D5B">
        <w:rPr>
          <w:rFonts w:cs="Arial"/>
          <w:i/>
          <w:iCs/>
          <w:noProof/>
          <w:sz w:val="20"/>
          <w:szCs w:val="24"/>
        </w:rPr>
        <w:t>Energy and Fuels</w:t>
      </w:r>
      <w:r w:rsidRPr="00371D5B">
        <w:rPr>
          <w:rFonts w:cs="Arial"/>
          <w:noProof/>
          <w:sz w:val="20"/>
          <w:szCs w:val="24"/>
        </w:rPr>
        <w:t xml:space="preserve">, </w:t>
      </w:r>
      <w:r w:rsidRPr="00371D5B">
        <w:rPr>
          <w:rFonts w:cs="Arial"/>
          <w:i/>
          <w:iCs/>
          <w:noProof/>
          <w:sz w:val="20"/>
          <w:szCs w:val="24"/>
        </w:rPr>
        <w:t>27</w:t>
      </w:r>
      <w:r w:rsidRPr="00371D5B">
        <w:rPr>
          <w:rFonts w:cs="Arial"/>
          <w:noProof/>
          <w:sz w:val="20"/>
          <w:szCs w:val="24"/>
        </w:rPr>
        <w:t>(8), 4818–4823. https://doi.org/10.1021/ef400499k</w:t>
      </w:r>
    </w:p>
    <w:p w14:paraId="63C30912" w14:textId="56E05945" w:rsidR="00B57377" w:rsidRDefault="00B57377" w:rsidP="00371D5B">
      <w:pPr>
        <w:autoSpaceDE w:val="0"/>
        <w:autoSpaceDN w:val="0"/>
        <w:adjustRightInd w:val="0"/>
        <w:spacing w:line="240" w:lineRule="auto"/>
        <w:ind w:left="480" w:hanging="480"/>
        <w:rPr>
          <w:color w:val="000000"/>
          <w:sz w:val="19"/>
          <w:szCs w:val="19"/>
        </w:rPr>
      </w:pPr>
      <w:r>
        <w:rPr>
          <w:color w:val="000000"/>
          <w:sz w:val="19"/>
          <w:szCs w:val="19"/>
          <w:highlight w:val="yellow"/>
        </w:rPr>
        <w:fldChar w:fldCharType="end"/>
      </w:r>
    </w:p>
    <w:p w14:paraId="5804FD14" w14:textId="77777777" w:rsidR="006B2CFC" w:rsidRDefault="006B2CFC" w:rsidP="00B57377">
      <w:pPr>
        <w:tabs>
          <w:tab w:val="left" w:pos="1500"/>
        </w:tabs>
      </w:pPr>
    </w:p>
    <w:p w14:paraId="04741BFE" w14:textId="77777777" w:rsidR="00110459" w:rsidRDefault="00110459" w:rsidP="00B561D5">
      <w:pPr>
        <w:pStyle w:val="References0"/>
        <w:ind w:left="0" w:firstLine="0"/>
        <w:rPr>
          <w:noProof/>
        </w:rPr>
      </w:pPr>
    </w:p>
    <w:p w14:paraId="75629B83" w14:textId="77777777" w:rsidR="00110459" w:rsidRDefault="00110459" w:rsidP="008164A6">
      <w:pPr>
        <w:pStyle w:val="References0"/>
        <w:rPr>
          <w:noProof/>
        </w:rPr>
      </w:pPr>
    </w:p>
    <w:p w14:paraId="62F4F24A" w14:textId="77777777" w:rsidR="00110459" w:rsidRDefault="00110459" w:rsidP="008164A6">
      <w:pPr>
        <w:pStyle w:val="References0"/>
        <w:rPr>
          <w:noProof/>
        </w:rPr>
      </w:pPr>
    </w:p>
    <w:p w14:paraId="69FFEAE7" w14:textId="654CA61B" w:rsidR="00110459" w:rsidRDefault="00110459" w:rsidP="008164A6">
      <w:pPr>
        <w:pStyle w:val="References0"/>
        <w:rPr>
          <w:noProof/>
        </w:rPr>
      </w:pPr>
    </w:p>
    <w:p w14:paraId="19E3A0F2" w14:textId="3EFA5E99" w:rsidR="00110459" w:rsidRPr="00FB6A81" w:rsidRDefault="00110459" w:rsidP="008164A6">
      <w:pPr>
        <w:pStyle w:val="References0"/>
        <w:rPr>
          <w:noProof/>
        </w:rPr>
      </w:pPr>
    </w:p>
    <w:sectPr w:rsidR="00110459" w:rsidRPr="00FB6A81" w:rsidSect="00CB4801">
      <w:footerReference w:type="default" r:id="rId19"/>
      <w:headerReference w:type="first" r:id="rId20"/>
      <w:footerReference w:type="first" r:id="rId21"/>
      <w:footnotePr>
        <w:numRestart w:val="eachPage"/>
      </w:footnotePr>
      <w:type w:val="continuous"/>
      <w:pgSz w:w="11901" w:h="16840" w:code="9"/>
      <w:pgMar w:top="1134" w:right="1134" w:bottom="1418" w:left="1134" w:header="1134" w:footer="720" w:gutter="0"/>
      <w:pgNumType w:start="1"/>
      <w:cols w:space="720"/>
      <w:titlePg/>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1C903D2"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1C903D2" w16cid:durableId="2458F92F"/>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AD74662" w14:textId="77777777" w:rsidR="004818C0" w:rsidRDefault="004818C0">
      <w:r>
        <w:separator/>
      </w:r>
    </w:p>
  </w:endnote>
  <w:endnote w:type="continuationSeparator" w:id="0">
    <w:p w14:paraId="28F9FB43" w14:textId="77777777" w:rsidR="004818C0" w:rsidRDefault="004818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ew York">
    <w:altName w:val="Times New Roman"/>
    <w:panose1 w:val="020405030605060203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ヒラギノ角ゴ Pro W3">
    <w:charset w:val="80"/>
    <w:family w:val="auto"/>
    <w:pitch w:val="variable"/>
    <w:sig w:usb0="E00002FF" w:usb1="7AC7FFFF" w:usb2="00000012" w:usb3="00000000" w:csb0="0002000D" w:csb1="00000000"/>
  </w:font>
  <w:font w:name="Helvetica">
    <w:panose1 w:val="020B0604020202020204"/>
    <w:charset w:val="00"/>
    <w:family w:val="swiss"/>
    <w:notTrueType/>
    <w:pitch w:val="variable"/>
    <w:sig w:usb0="00000003" w:usb1="00000000" w:usb2="00000000" w:usb3="00000000" w:csb0="00000001" w:csb1="00000000"/>
  </w:font>
  <w:font w:name="Helvetica Neue">
    <w:altName w:val="Times New Roman"/>
    <w:charset w:val="00"/>
    <w:family w:val="auto"/>
    <w:pitch w:val="default"/>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F334C3" w14:textId="77777777" w:rsidR="00871405" w:rsidRPr="0003674B" w:rsidRDefault="00871405" w:rsidP="0003674B">
    <w:pPr>
      <w:pStyle w:val="Piedepgina"/>
      <w:spacing w:before="20" w:line="240" w:lineRule="auto"/>
      <w:ind w:firstLine="0"/>
      <w:rPr>
        <w:rFonts w:cs="Arial"/>
        <w:iCs/>
        <w:color w:val="7F7F7F"/>
        <w:sz w:val="20"/>
        <w:lang w:val="en-US"/>
      </w:rPr>
    </w:pPr>
    <w:r w:rsidRPr="0003674B">
      <w:rPr>
        <w:rFonts w:cs="Arial"/>
        <w:iCs/>
        <w:noProof/>
        <w:color w:val="7F7F7F"/>
        <w:sz w:val="18"/>
        <w:szCs w:val="18"/>
        <w:lang w:val="es-ES" w:eastAsia="es-ES"/>
      </w:rPr>
      <mc:AlternateContent>
        <mc:Choice Requires="wps">
          <w:drawing>
            <wp:anchor distT="0" distB="0" distL="114300" distR="114300" simplePos="0" relativeHeight="251657216" behindDoc="0" locked="0" layoutInCell="1" allowOverlap="1" wp14:anchorId="1C2089D9" wp14:editId="27550387">
              <wp:simplePos x="0" y="0"/>
              <wp:positionH relativeFrom="column">
                <wp:posOffset>13335</wp:posOffset>
              </wp:positionH>
              <wp:positionV relativeFrom="paragraph">
                <wp:posOffset>-48895</wp:posOffset>
              </wp:positionV>
              <wp:extent cx="6120130" cy="0"/>
              <wp:effectExtent l="0" t="0" r="0" b="0"/>
              <wp:wrapNone/>
              <wp:docPr id="3"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12700">
                        <a:solidFill>
                          <a:srgbClr val="80808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55DD15CE" id="_x0000_t32" coordsize="21600,21600" o:spt="32" o:oned="t" path="m,l21600,21600e" filled="f">
              <v:path arrowok="t" fillok="f" o:connecttype="none"/>
              <o:lock v:ext="edit" shapetype="t"/>
            </v:shapetype>
            <v:shape id="AutoShape 2" o:spid="_x0000_s1026" type="#_x0000_t32" style="position:absolute;margin-left:1.05pt;margin-top:-3.85pt;width:481.9pt;height:0;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" strokecolor="gray" strokeweight="1pt">
              <v:shadow color="#7f7f7f" opacity=".5" offset="1pt"/>
            </v:shape>
          </w:pict>
        </mc:Fallback>
      </mc:AlternateContent>
    </w:r>
    <w:r w:rsidRPr="0003674B">
      <w:rPr>
        <w:rFonts w:cs="Arial"/>
        <w:iCs/>
        <w:color w:val="7F7F7F"/>
        <w:sz w:val="18"/>
        <w:szCs w:val="18"/>
        <w:lang w:val="en-US"/>
      </w:rPr>
      <w:t xml:space="preserve">Proceedings </w:t>
    </w:r>
    <w:r>
      <w:rPr>
        <w:rFonts w:cs="Arial"/>
        <w:iCs/>
        <w:color w:val="7F7F7F"/>
        <w:sz w:val="18"/>
        <w:szCs w:val="18"/>
        <w:lang w:val="en-US"/>
      </w:rPr>
      <w:t>SARDINIA</w:t>
    </w:r>
    <w:r w:rsidRPr="0003674B">
      <w:rPr>
        <w:rFonts w:cs="Arial"/>
        <w:iCs/>
        <w:color w:val="7F7F7F"/>
        <w:sz w:val="18"/>
        <w:szCs w:val="18"/>
        <w:lang w:val="en-US"/>
      </w:rPr>
      <w:t>20</w:t>
    </w:r>
    <w:r>
      <w:rPr>
        <w:rFonts w:cs="Arial"/>
        <w:iCs/>
        <w:color w:val="7F7F7F"/>
        <w:sz w:val="18"/>
        <w:szCs w:val="18"/>
        <w:lang w:val="en-US"/>
      </w:rPr>
      <w:t>21</w:t>
    </w:r>
    <w:r w:rsidRPr="0003674B">
      <w:rPr>
        <w:rFonts w:cs="Arial"/>
        <w:iCs/>
        <w:color w:val="7F7F7F"/>
        <w:sz w:val="18"/>
        <w:szCs w:val="18"/>
        <w:lang w:val="en-US"/>
      </w:rPr>
      <w:t xml:space="preserve">. </w:t>
    </w:r>
    <w:r w:rsidRPr="0003674B">
      <w:rPr>
        <w:rFonts w:cs="Arial"/>
        <w:iCs/>
        <w:color w:val="7F7F7F"/>
        <w:sz w:val="18"/>
        <w:szCs w:val="18"/>
      </w:rPr>
      <w:sym w:font="Symbol" w:char="F0E3"/>
    </w:r>
    <w:r w:rsidRPr="0003674B">
      <w:rPr>
        <w:rFonts w:cs="Arial"/>
        <w:iCs/>
        <w:color w:val="7F7F7F"/>
        <w:sz w:val="18"/>
        <w:szCs w:val="18"/>
        <w:lang w:val="en-GB"/>
      </w:rPr>
      <w:t xml:space="preserve"> 20</w:t>
    </w:r>
    <w:r>
      <w:rPr>
        <w:rFonts w:cs="Arial"/>
        <w:iCs/>
        <w:color w:val="7F7F7F"/>
        <w:sz w:val="18"/>
        <w:szCs w:val="18"/>
        <w:lang w:val="en-GB"/>
      </w:rPr>
      <w:t>21</w:t>
    </w:r>
    <w:r w:rsidRPr="0003674B">
      <w:rPr>
        <w:rFonts w:cs="Arial"/>
        <w:iCs/>
        <w:color w:val="7F7F7F"/>
        <w:sz w:val="18"/>
        <w:szCs w:val="18"/>
        <w:lang w:val="en-GB"/>
      </w:rPr>
      <w:t xml:space="preserve"> CISA Publisher. All rights reserved / www.cisapublisher.com</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8FEF50" w14:textId="77777777" w:rsidR="00871405" w:rsidRPr="0003674B" w:rsidRDefault="00871405" w:rsidP="008F6007">
    <w:pPr>
      <w:pStyle w:val="Piedepgina"/>
      <w:spacing w:before="20" w:line="240" w:lineRule="auto"/>
      <w:ind w:firstLine="0"/>
      <w:rPr>
        <w:rFonts w:cs="Arial"/>
        <w:iCs/>
        <w:color w:val="7F7F7F"/>
        <w:sz w:val="20"/>
        <w:lang w:val="en-US"/>
      </w:rPr>
    </w:pPr>
    <w:r w:rsidRPr="0003674B">
      <w:rPr>
        <w:rFonts w:cs="Arial"/>
        <w:iCs/>
        <w:noProof/>
        <w:color w:val="7F7F7F"/>
        <w:sz w:val="18"/>
        <w:szCs w:val="18"/>
        <w:lang w:val="es-ES" w:eastAsia="es-ES"/>
      </w:rPr>
      <mc:AlternateContent>
        <mc:Choice Requires="wps">
          <w:drawing>
            <wp:anchor distT="0" distB="0" distL="114300" distR="114300" simplePos="0" relativeHeight="251658240" behindDoc="0" locked="0" layoutInCell="1" allowOverlap="1" wp14:anchorId="0E96E6FA" wp14:editId="4E27B8D2">
              <wp:simplePos x="0" y="0"/>
              <wp:positionH relativeFrom="column">
                <wp:posOffset>13335</wp:posOffset>
              </wp:positionH>
              <wp:positionV relativeFrom="paragraph">
                <wp:posOffset>-48895</wp:posOffset>
              </wp:positionV>
              <wp:extent cx="6120130" cy="0"/>
              <wp:effectExtent l="0" t="0" r="0" b="0"/>
              <wp:wrapNone/>
              <wp:docPr id="2"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12700">
                        <a:solidFill>
                          <a:srgbClr val="80808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51F34A74" id="_x0000_t32" coordsize="21600,21600" o:spt="32" o:oned="t" path="m,l21600,21600e" filled="f">
              <v:path arrowok="t" fillok="f" o:connecttype="none"/>
              <o:lock v:ext="edit" shapetype="t"/>
            </v:shapetype>
            <v:shape id="AutoShape 3" o:spid="_x0000_s1026" type="#_x0000_t32" style="position:absolute;margin-left:1.05pt;margin-top:-3.85pt;width:481.9pt;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" strokecolor="gray" strokeweight="1pt">
              <v:shadow color="#7f7f7f" opacity=".5" offset="1pt"/>
            </v:shape>
          </w:pict>
        </mc:Fallback>
      </mc:AlternateContent>
    </w:r>
    <w:r w:rsidRPr="0003674B">
      <w:rPr>
        <w:rFonts w:cs="Arial"/>
        <w:iCs/>
        <w:color w:val="7F7F7F"/>
        <w:sz w:val="18"/>
        <w:szCs w:val="18"/>
        <w:lang w:val="en-US"/>
      </w:rPr>
      <w:t xml:space="preserve">Proceedings </w:t>
    </w:r>
    <w:r>
      <w:rPr>
        <w:rFonts w:cs="Arial"/>
        <w:iCs/>
        <w:color w:val="7F7F7F"/>
        <w:sz w:val="18"/>
        <w:szCs w:val="18"/>
        <w:lang w:val="en-US"/>
      </w:rPr>
      <w:t>SARDINIA</w:t>
    </w:r>
    <w:r w:rsidRPr="0003674B">
      <w:rPr>
        <w:rFonts w:cs="Arial"/>
        <w:iCs/>
        <w:color w:val="7F7F7F"/>
        <w:sz w:val="18"/>
        <w:szCs w:val="18"/>
        <w:lang w:val="en-US"/>
      </w:rPr>
      <w:t>20</w:t>
    </w:r>
    <w:r>
      <w:rPr>
        <w:rFonts w:cs="Arial"/>
        <w:iCs/>
        <w:color w:val="7F7F7F"/>
        <w:sz w:val="18"/>
        <w:szCs w:val="18"/>
        <w:lang w:val="en-US"/>
      </w:rPr>
      <w:t>21</w:t>
    </w:r>
    <w:r w:rsidRPr="0003674B">
      <w:rPr>
        <w:rFonts w:cs="Arial"/>
        <w:iCs/>
        <w:color w:val="7F7F7F"/>
        <w:sz w:val="18"/>
        <w:szCs w:val="18"/>
        <w:lang w:val="en-US"/>
      </w:rPr>
      <w:t xml:space="preserve">. </w:t>
    </w:r>
    <w:r w:rsidRPr="0003674B">
      <w:rPr>
        <w:rFonts w:cs="Arial"/>
        <w:iCs/>
        <w:color w:val="7F7F7F"/>
        <w:sz w:val="18"/>
        <w:szCs w:val="18"/>
      </w:rPr>
      <w:sym w:font="Symbol" w:char="F0E3"/>
    </w:r>
    <w:r w:rsidRPr="0003674B">
      <w:rPr>
        <w:rFonts w:cs="Arial"/>
        <w:iCs/>
        <w:color w:val="7F7F7F"/>
        <w:sz w:val="18"/>
        <w:szCs w:val="18"/>
        <w:lang w:val="en-GB"/>
      </w:rPr>
      <w:t xml:space="preserve"> 20</w:t>
    </w:r>
    <w:r>
      <w:rPr>
        <w:rFonts w:cs="Arial"/>
        <w:iCs/>
        <w:color w:val="7F7F7F"/>
        <w:sz w:val="18"/>
        <w:szCs w:val="18"/>
        <w:lang w:val="en-GB"/>
      </w:rPr>
      <w:t>21</w:t>
    </w:r>
    <w:r w:rsidRPr="0003674B">
      <w:rPr>
        <w:rFonts w:cs="Arial"/>
        <w:iCs/>
        <w:color w:val="7F7F7F"/>
        <w:sz w:val="18"/>
        <w:szCs w:val="18"/>
        <w:lang w:val="en-GB"/>
      </w:rPr>
      <w:t xml:space="preserve"> CISA Publisher. All rights reserved / www.cisapublisher.com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66B79C1" w14:textId="77777777" w:rsidR="004818C0" w:rsidRDefault="004818C0">
      <w:r>
        <w:separator/>
      </w:r>
    </w:p>
  </w:footnote>
  <w:footnote w:type="continuationSeparator" w:id="0">
    <w:p w14:paraId="7139EF06" w14:textId="77777777" w:rsidR="004818C0" w:rsidRDefault="004818C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3EABAA" w14:textId="77777777" w:rsidR="00871405" w:rsidRDefault="00871405" w:rsidP="00C2029F">
    <w:pPr>
      <w:pStyle w:val="Encabezado"/>
      <w:tabs>
        <w:tab w:val="clear" w:pos="9498"/>
        <w:tab w:val="clear" w:pos="9638"/>
        <w:tab w:val="right" w:pos="9661"/>
      </w:tabs>
      <w:ind w:firstLine="0"/>
      <w:rPr>
        <w:noProof/>
      </w:rPr>
    </w:pPr>
    <w:r>
      <w:rPr>
        <w:noProof/>
        <w:lang w:val="es-ES" w:eastAsia="es-ES"/>
      </w:rPr>
      <w:drawing>
        <wp:inline distT="0" distB="0" distL="0" distR="0" wp14:anchorId="037526A4" wp14:editId="405817D4">
          <wp:extent cx="6156960" cy="691169"/>
          <wp:effectExtent l="0" t="0" r="0"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enza titolo-1.png"/>
                  <pic:cNvPicPr/>
                </pic:nvPicPr>
                <pic:blipFill rotWithShape="1">
                  <a:blip r:embed="rId1">
                    <a:extLst>
                      <a:ext uri="{28A0092B-C50C-407E-A947-70E740481C1C}">
                        <a14:useLocalDpi xmlns:a14="http://schemas.microsoft.com/office/drawing/2010/main" val="0"/>
                      </a:ext>
                    </a:extLst>
                  </a:blip>
                  <a:srcRect l="1620" r="1838"/>
                  <a:stretch/>
                </pic:blipFill>
                <pic:spPr bwMode="auto">
                  <a:xfrm>
                    <a:off x="0" y="0"/>
                    <a:ext cx="6204754" cy="696534"/>
                  </a:xfrm>
                  <a:prstGeom prst="rect">
                    <a:avLst/>
                  </a:prstGeom>
                  <a:ln>
                    <a:noFill/>
                  </a:ln>
                  <a:extLst>
                    <a:ext uri="{53640926-AAD7-44D8-BBD7-CCE9431645EC}">
                      <a14:shadowObscured xmlns:a14="http://schemas.microsoft.com/office/drawing/2010/main"/>
                    </a:ext>
                  </a:extLst>
                </pic:spPr>
              </pic:pic>
            </a:graphicData>
          </a:graphic>
        </wp:inline>
      </w:drawing>
    </w:r>
  </w:p>
  <w:p w14:paraId="4F4C50CE" w14:textId="77777777" w:rsidR="00871405" w:rsidRDefault="00871405" w:rsidP="00716070">
    <w:pPr>
      <w:pStyle w:val="Encabezado"/>
      <w:tabs>
        <w:tab w:val="clear" w:pos="4819"/>
        <w:tab w:val="clear" w:pos="9498"/>
        <w:tab w:val="clear" w:pos="9638"/>
      </w:tabs>
      <w:ind w:firstLine="0"/>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75744A4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FE"/>
    <w:multiLevelType w:val="singleLevel"/>
    <w:tmpl w:val="FFFFFFFF"/>
    <w:lvl w:ilvl="0">
      <w:numFmt w:val="decimal"/>
      <w:lvlText w:val="*"/>
      <w:lvlJc w:val="left"/>
    </w:lvl>
  </w:abstractNum>
  <w:abstractNum w:abstractNumId="2">
    <w:nsid w:val="02325D1F"/>
    <w:multiLevelType w:val="hybridMultilevel"/>
    <w:tmpl w:val="A5005E20"/>
    <w:lvl w:ilvl="0" w:tplc="5EC056CA">
      <w:start w:val="1"/>
      <w:numFmt w:val="bullet"/>
      <w:lvlText w:val=""/>
      <w:lvlJc w:val="left"/>
      <w:pPr>
        <w:tabs>
          <w:tab w:val="num" w:pos="284"/>
        </w:tabs>
        <w:ind w:left="284" w:hanging="284"/>
      </w:pPr>
      <w:rPr>
        <w:rFonts w:ascii="Wingdings" w:hAnsi="Wingdings" w:hint="default"/>
        <w:sz w:val="20"/>
        <w:szCs w:val="20"/>
      </w:rPr>
    </w:lvl>
    <w:lvl w:ilvl="1" w:tplc="04100003" w:tentative="1">
      <w:start w:val="1"/>
      <w:numFmt w:val="bullet"/>
      <w:lvlText w:val="o"/>
      <w:lvlJc w:val="left"/>
      <w:pPr>
        <w:tabs>
          <w:tab w:val="num" w:pos="1440"/>
        </w:tabs>
        <w:ind w:left="1440" w:hanging="360"/>
      </w:pPr>
      <w:rPr>
        <w:rFonts w:ascii="Courier New" w:hAnsi="Courier New" w:cs="New York"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New York"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New York"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3">
    <w:nsid w:val="0C0E27EE"/>
    <w:multiLevelType w:val="hybridMultilevel"/>
    <w:tmpl w:val="0D20D44A"/>
    <w:lvl w:ilvl="0" w:tplc="04100001">
      <w:start w:val="1"/>
      <w:numFmt w:val="bullet"/>
      <w:lvlText w:val=""/>
      <w:lvlJc w:val="left"/>
      <w:pPr>
        <w:tabs>
          <w:tab w:val="num" w:pos="284"/>
        </w:tabs>
        <w:ind w:left="284" w:hanging="284"/>
      </w:pPr>
      <w:rPr>
        <w:rFonts w:ascii="Symbol" w:hAnsi="Symbol" w:hint="default"/>
        <w:sz w:val="20"/>
        <w:szCs w:val="20"/>
      </w:rPr>
    </w:lvl>
    <w:lvl w:ilvl="1" w:tplc="04100003" w:tentative="1">
      <w:start w:val="1"/>
      <w:numFmt w:val="bullet"/>
      <w:lvlText w:val="o"/>
      <w:lvlJc w:val="left"/>
      <w:pPr>
        <w:tabs>
          <w:tab w:val="num" w:pos="1440"/>
        </w:tabs>
        <w:ind w:left="1440" w:hanging="360"/>
      </w:pPr>
      <w:rPr>
        <w:rFonts w:ascii="Courier New" w:hAnsi="Courier New" w:cs="New York"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New York"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New York"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4">
    <w:nsid w:val="17AA7B04"/>
    <w:multiLevelType w:val="hybridMultilevel"/>
    <w:tmpl w:val="4874D8D0"/>
    <w:lvl w:ilvl="0" w:tplc="70D07CA4">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nsid w:val="22431852"/>
    <w:multiLevelType w:val="multilevel"/>
    <w:tmpl w:val="6EE0261E"/>
    <w:lvl w:ilvl="0">
      <w:start w:val="4"/>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
    <w:nsid w:val="392D23D1"/>
    <w:multiLevelType w:val="hybridMultilevel"/>
    <w:tmpl w:val="887C8BAA"/>
    <w:lvl w:ilvl="0" w:tplc="04100001">
      <w:start w:val="1"/>
      <w:numFmt w:val="bullet"/>
      <w:lvlText w:val=""/>
      <w:lvlJc w:val="left"/>
      <w:pPr>
        <w:tabs>
          <w:tab w:val="num" w:pos="284"/>
        </w:tabs>
        <w:ind w:left="284" w:hanging="284"/>
      </w:pPr>
      <w:rPr>
        <w:rFonts w:ascii="Symbol" w:hAnsi="Symbol" w:hint="default"/>
        <w:sz w:val="20"/>
        <w:szCs w:val="20"/>
      </w:rPr>
    </w:lvl>
    <w:lvl w:ilvl="1" w:tplc="04100003" w:tentative="1">
      <w:start w:val="1"/>
      <w:numFmt w:val="bullet"/>
      <w:lvlText w:val="o"/>
      <w:lvlJc w:val="left"/>
      <w:pPr>
        <w:tabs>
          <w:tab w:val="num" w:pos="1440"/>
        </w:tabs>
        <w:ind w:left="1440" w:hanging="360"/>
      </w:pPr>
      <w:rPr>
        <w:rFonts w:ascii="Courier New" w:hAnsi="Courier New" w:cs="New York"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New York"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New York"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7">
    <w:nsid w:val="3D680FC5"/>
    <w:multiLevelType w:val="hybridMultilevel"/>
    <w:tmpl w:val="3732F8F0"/>
    <w:lvl w:ilvl="0" w:tplc="04100001">
      <w:start w:val="1"/>
      <w:numFmt w:val="bullet"/>
      <w:lvlText w:val=""/>
      <w:lvlJc w:val="left"/>
      <w:pPr>
        <w:tabs>
          <w:tab w:val="num" w:pos="284"/>
        </w:tabs>
        <w:ind w:left="284" w:hanging="284"/>
      </w:pPr>
      <w:rPr>
        <w:rFonts w:ascii="Symbol" w:hAnsi="Symbol" w:hint="default"/>
        <w:sz w:val="20"/>
        <w:szCs w:val="20"/>
      </w:rPr>
    </w:lvl>
    <w:lvl w:ilvl="1" w:tplc="04100003" w:tentative="1">
      <w:start w:val="1"/>
      <w:numFmt w:val="bullet"/>
      <w:lvlText w:val="o"/>
      <w:lvlJc w:val="left"/>
      <w:pPr>
        <w:tabs>
          <w:tab w:val="num" w:pos="1440"/>
        </w:tabs>
        <w:ind w:left="1440" w:hanging="360"/>
      </w:pPr>
      <w:rPr>
        <w:rFonts w:ascii="Courier New" w:hAnsi="Courier New" w:cs="New York"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New York"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New York"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8">
    <w:nsid w:val="46E46A43"/>
    <w:multiLevelType w:val="hybridMultilevel"/>
    <w:tmpl w:val="AD262EDA"/>
    <w:lvl w:ilvl="0" w:tplc="24BC9730">
      <w:start w:val="1"/>
      <w:numFmt w:val="bullet"/>
      <w:lvlText w:val=""/>
      <w:lvlJc w:val="left"/>
      <w:pPr>
        <w:tabs>
          <w:tab w:val="num" w:pos="284"/>
        </w:tabs>
        <w:ind w:left="284" w:hanging="284"/>
      </w:pPr>
      <w:rPr>
        <w:rFonts w:ascii="Wingdings" w:hAnsi="Wingdings" w:hint="default"/>
        <w:sz w:val="20"/>
        <w:szCs w:val="20"/>
      </w:rPr>
    </w:lvl>
    <w:lvl w:ilvl="1" w:tplc="04100003" w:tentative="1">
      <w:start w:val="1"/>
      <w:numFmt w:val="bullet"/>
      <w:lvlText w:val="o"/>
      <w:lvlJc w:val="left"/>
      <w:pPr>
        <w:tabs>
          <w:tab w:val="num" w:pos="1440"/>
        </w:tabs>
        <w:ind w:left="1440" w:hanging="360"/>
      </w:pPr>
      <w:rPr>
        <w:rFonts w:ascii="Courier New" w:hAnsi="Courier New" w:cs="New York"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New York"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New York"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9">
    <w:nsid w:val="5376195D"/>
    <w:multiLevelType w:val="multilevel"/>
    <w:tmpl w:val="0D90CC7A"/>
    <w:lvl w:ilvl="0">
      <w:start w:val="1"/>
      <w:numFmt w:val="decimal"/>
      <w:pStyle w:val="Paragrafoprincipale"/>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nsid w:val="66F040A4"/>
    <w:multiLevelType w:val="multilevel"/>
    <w:tmpl w:val="4322ED8E"/>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6DFE6827"/>
    <w:multiLevelType w:val="hybridMultilevel"/>
    <w:tmpl w:val="C50E4AD6"/>
    <w:lvl w:ilvl="0" w:tplc="CA3C091C">
      <w:start w:val="1"/>
      <w:numFmt w:val="bullet"/>
      <w:pStyle w:val="List1"/>
      <w:lvlText w:val=""/>
      <w:lvlJc w:val="left"/>
      <w:pPr>
        <w:tabs>
          <w:tab w:val="num" w:pos="284"/>
        </w:tabs>
        <w:ind w:left="284" w:hanging="284"/>
      </w:pPr>
      <w:rPr>
        <w:rFonts w:ascii="Wingdings" w:hAnsi="Wingdings" w:hint="default"/>
        <w:sz w:val="20"/>
        <w:szCs w:val="20"/>
      </w:rPr>
    </w:lvl>
    <w:lvl w:ilvl="1" w:tplc="04100003" w:tentative="1">
      <w:start w:val="1"/>
      <w:numFmt w:val="bullet"/>
      <w:lvlText w:val="o"/>
      <w:lvlJc w:val="left"/>
      <w:pPr>
        <w:tabs>
          <w:tab w:val="num" w:pos="1440"/>
        </w:tabs>
        <w:ind w:left="1440" w:hanging="360"/>
      </w:pPr>
      <w:rPr>
        <w:rFonts w:ascii="Courier New" w:hAnsi="Courier New" w:cs="New York"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New York"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New York"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2">
    <w:nsid w:val="712C6EF9"/>
    <w:multiLevelType w:val="hybridMultilevel"/>
    <w:tmpl w:val="4C76E2F4"/>
    <w:lvl w:ilvl="0" w:tplc="C87241EC">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1"/>
    <w:lvlOverride w:ilvl="0">
      <w:lvl w:ilvl="0">
        <w:start w:val="1"/>
        <w:numFmt w:val="bullet"/>
        <w:lvlText w:val=""/>
        <w:legacy w:legacy="1" w:legacySpace="0" w:legacyIndent="283"/>
        <w:lvlJc w:val="left"/>
        <w:pPr>
          <w:ind w:left="283" w:hanging="283"/>
        </w:pPr>
        <w:rPr>
          <w:rFonts w:ascii="Symbol" w:hAnsi="Symbol" w:hint="default"/>
        </w:rPr>
      </w:lvl>
    </w:lvlOverride>
  </w:num>
  <w:num w:numId="2">
    <w:abstractNumId w:val="1"/>
    <w:lvlOverride w:ilvl="0">
      <w:lvl w:ilvl="0">
        <w:start w:val="1"/>
        <w:numFmt w:val="bullet"/>
        <w:lvlText w:val=""/>
        <w:legacy w:legacy="1" w:legacySpace="0" w:legacyIndent="284"/>
        <w:lvlJc w:val="left"/>
        <w:pPr>
          <w:ind w:left="284" w:hanging="284"/>
        </w:pPr>
        <w:rPr>
          <w:rFonts w:ascii="Symbol" w:hAnsi="Symbol" w:hint="default"/>
        </w:rPr>
      </w:lvl>
    </w:lvlOverride>
  </w:num>
  <w:num w:numId="3">
    <w:abstractNumId w:val="2"/>
  </w:num>
  <w:num w:numId="4">
    <w:abstractNumId w:val="8"/>
  </w:num>
  <w:num w:numId="5">
    <w:abstractNumId w:val="11"/>
  </w:num>
  <w:num w:numId="6">
    <w:abstractNumId w:val="0"/>
  </w:num>
  <w:num w:numId="7">
    <w:abstractNumId w:val="6"/>
  </w:num>
  <w:num w:numId="8">
    <w:abstractNumId w:val="7"/>
  </w:num>
  <w:num w:numId="9">
    <w:abstractNumId w:val="3"/>
  </w:num>
  <w:num w:numId="10">
    <w:abstractNumId w:val="12"/>
  </w:num>
  <w:num w:numId="11">
    <w:abstractNumId w:val="9"/>
  </w:num>
  <w:num w:numId="12">
    <w:abstractNumId w:val="4"/>
  </w:num>
  <w:num w:numId="13">
    <w:abstractNumId w:val="5"/>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intFractionalCharacterWidth/>
  <w:hideSpellingError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0"/>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39F1"/>
    <w:rsid w:val="00011612"/>
    <w:rsid w:val="000211DB"/>
    <w:rsid w:val="00021E2B"/>
    <w:rsid w:val="0003674B"/>
    <w:rsid w:val="000375B8"/>
    <w:rsid w:val="00045A9C"/>
    <w:rsid w:val="00057509"/>
    <w:rsid w:val="00071B35"/>
    <w:rsid w:val="00077A7E"/>
    <w:rsid w:val="00083862"/>
    <w:rsid w:val="000906C1"/>
    <w:rsid w:val="00091C5E"/>
    <w:rsid w:val="00092415"/>
    <w:rsid w:val="00094AE9"/>
    <w:rsid w:val="000B1E28"/>
    <w:rsid w:val="000D0D78"/>
    <w:rsid w:val="000E7868"/>
    <w:rsid w:val="001005A8"/>
    <w:rsid w:val="00110459"/>
    <w:rsid w:val="00111CF0"/>
    <w:rsid w:val="001460EE"/>
    <w:rsid w:val="001650C3"/>
    <w:rsid w:val="00171D25"/>
    <w:rsid w:val="00182565"/>
    <w:rsid w:val="001D334E"/>
    <w:rsid w:val="001E711E"/>
    <w:rsid w:val="00203E97"/>
    <w:rsid w:val="00223D21"/>
    <w:rsid w:val="00290946"/>
    <w:rsid w:val="0029496A"/>
    <w:rsid w:val="002A412F"/>
    <w:rsid w:val="002A59B4"/>
    <w:rsid w:val="0034334F"/>
    <w:rsid w:val="00356C74"/>
    <w:rsid w:val="00371D5B"/>
    <w:rsid w:val="003721EE"/>
    <w:rsid w:val="00383FBF"/>
    <w:rsid w:val="003E3B33"/>
    <w:rsid w:val="00404198"/>
    <w:rsid w:val="004122B5"/>
    <w:rsid w:val="00416486"/>
    <w:rsid w:val="004245F6"/>
    <w:rsid w:val="00424D7B"/>
    <w:rsid w:val="00425CAB"/>
    <w:rsid w:val="004639F1"/>
    <w:rsid w:val="0047067C"/>
    <w:rsid w:val="00474326"/>
    <w:rsid w:val="004818C0"/>
    <w:rsid w:val="00485250"/>
    <w:rsid w:val="004A4B52"/>
    <w:rsid w:val="004A7EC3"/>
    <w:rsid w:val="004B6A98"/>
    <w:rsid w:val="004C74AB"/>
    <w:rsid w:val="005173B1"/>
    <w:rsid w:val="00520F6D"/>
    <w:rsid w:val="00523F87"/>
    <w:rsid w:val="00533C7D"/>
    <w:rsid w:val="00556965"/>
    <w:rsid w:val="00557D8C"/>
    <w:rsid w:val="00572B2B"/>
    <w:rsid w:val="00590967"/>
    <w:rsid w:val="005B7B8B"/>
    <w:rsid w:val="005D1A18"/>
    <w:rsid w:val="00605377"/>
    <w:rsid w:val="006160A4"/>
    <w:rsid w:val="00617722"/>
    <w:rsid w:val="00617EF0"/>
    <w:rsid w:val="006463BC"/>
    <w:rsid w:val="0065441F"/>
    <w:rsid w:val="00660FC5"/>
    <w:rsid w:val="00682DFA"/>
    <w:rsid w:val="006912F8"/>
    <w:rsid w:val="00694B73"/>
    <w:rsid w:val="00696206"/>
    <w:rsid w:val="006A4219"/>
    <w:rsid w:val="006B0E3B"/>
    <w:rsid w:val="006B2CFC"/>
    <w:rsid w:val="006B58FA"/>
    <w:rsid w:val="006D27EF"/>
    <w:rsid w:val="006D66A5"/>
    <w:rsid w:val="006D6E94"/>
    <w:rsid w:val="0071385B"/>
    <w:rsid w:val="00716070"/>
    <w:rsid w:val="00744C38"/>
    <w:rsid w:val="007458F8"/>
    <w:rsid w:val="00771B45"/>
    <w:rsid w:val="00773356"/>
    <w:rsid w:val="007752C9"/>
    <w:rsid w:val="00795B22"/>
    <w:rsid w:val="00797181"/>
    <w:rsid w:val="007C163B"/>
    <w:rsid w:val="007C1BCC"/>
    <w:rsid w:val="007C1DF1"/>
    <w:rsid w:val="007D4346"/>
    <w:rsid w:val="007D5FE7"/>
    <w:rsid w:val="008164A6"/>
    <w:rsid w:val="0082619A"/>
    <w:rsid w:val="0084397E"/>
    <w:rsid w:val="008458C9"/>
    <w:rsid w:val="00871405"/>
    <w:rsid w:val="00891F5A"/>
    <w:rsid w:val="008A1A0A"/>
    <w:rsid w:val="008A6306"/>
    <w:rsid w:val="008D3275"/>
    <w:rsid w:val="008E19F6"/>
    <w:rsid w:val="008E6F22"/>
    <w:rsid w:val="008F6007"/>
    <w:rsid w:val="00901E1D"/>
    <w:rsid w:val="00922DDA"/>
    <w:rsid w:val="009274D2"/>
    <w:rsid w:val="00940A98"/>
    <w:rsid w:val="009504A2"/>
    <w:rsid w:val="00955627"/>
    <w:rsid w:val="00962B48"/>
    <w:rsid w:val="0096405B"/>
    <w:rsid w:val="00965D28"/>
    <w:rsid w:val="00971F76"/>
    <w:rsid w:val="00987646"/>
    <w:rsid w:val="009D239C"/>
    <w:rsid w:val="009F5BB7"/>
    <w:rsid w:val="00A04F1F"/>
    <w:rsid w:val="00A24977"/>
    <w:rsid w:val="00A660DF"/>
    <w:rsid w:val="00A73134"/>
    <w:rsid w:val="00A84C45"/>
    <w:rsid w:val="00AC083B"/>
    <w:rsid w:val="00AC31F4"/>
    <w:rsid w:val="00AE4CA9"/>
    <w:rsid w:val="00AF6730"/>
    <w:rsid w:val="00B05320"/>
    <w:rsid w:val="00B1561E"/>
    <w:rsid w:val="00B24434"/>
    <w:rsid w:val="00B45FA7"/>
    <w:rsid w:val="00B561D5"/>
    <w:rsid w:val="00B57255"/>
    <w:rsid w:val="00B57377"/>
    <w:rsid w:val="00B60E4F"/>
    <w:rsid w:val="00B6441E"/>
    <w:rsid w:val="00B8042D"/>
    <w:rsid w:val="00B9064B"/>
    <w:rsid w:val="00BA7857"/>
    <w:rsid w:val="00BB7A86"/>
    <w:rsid w:val="00BE2702"/>
    <w:rsid w:val="00C00C47"/>
    <w:rsid w:val="00C108B2"/>
    <w:rsid w:val="00C137C4"/>
    <w:rsid w:val="00C13ABB"/>
    <w:rsid w:val="00C2029F"/>
    <w:rsid w:val="00C21A68"/>
    <w:rsid w:val="00C22510"/>
    <w:rsid w:val="00C237F8"/>
    <w:rsid w:val="00C241E9"/>
    <w:rsid w:val="00C415D9"/>
    <w:rsid w:val="00C47105"/>
    <w:rsid w:val="00C573F2"/>
    <w:rsid w:val="00C62EBD"/>
    <w:rsid w:val="00C64CD9"/>
    <w:rsid w:val="00C8182B"/>
    <w:rsid w:val="00C9181F"/>
    <w:rsid w:val="00C9204F"/>
    <w:rsid w:val="00C93A5C"/>
    <w:rsid w:val="00C93FC4"/>
    <w:rsid w:val="00CA5D77"/>
    <w:rsid w:val="00CB4801"/>
    <w:rsid w:val="00CC36E0"/>
    <w:rsid w:val="00CE2BBD"/>
    <w:rsid w:val="00D02172"/>
    <w:rsid w:val="00D55FB4"/>
    <w:rsid w:val="00D77045"/>
    <w:rsid w:val="00D871E1"/>
    <w:rsid w:val="00D93191"/>
    <w:rsid w:val="00DB3CA1"/>
    <w:rsid w:val="00DD51BF"/>
    <w:rsid w:val="00DE4504"/>
    <w:rsid w:val="00DF089B"/>
    <w:rsid w:val="00DF30C2"/>
    <w:rsid w:val="00E0048F"/>
    <w:rsid w:val="00E010EA"/>
    <w:rsid w:val="00E026E6"/>
    <w:rsid w:val="00E248FE"/>
    <w:rsid w:val="00E41E66"/>
    <w:rsid w:val="00E46261"/>
    <w:rsid w:val="00E541A8"/>
    <w:rsid w:val="00E6669D"/>
    <w:rsid w:val="00E71F76"/>
    <w:rsid w:val="00E94DD4"/>
    <w:rsid w:val="00EA791F"/>
    <w:rsid w:val="00EC0F7D"/>
    <w:rsid w:val="00EC42D0"/>
    <w:rsid w:val="00ED0447"/>
    <w:rsid w:val="00ED465D"/>
    <w:rsid w:val="00F02A1F"/>
    <w:rsid w:val="00F34503"/>
    <w:rsid w:val="00F402C2"/>
    <w:rsid w:val="00F52F4E"/>
    <w:rsid w:val="00F86CC0"/>
    <w:rsid w:val="00F95762"/>
    <w:rsid w:val="00FB6A81"/>
    <w:rsid w:val="00FC3976"/>
    <w:rsid w:val="00FC4BA6"/>
    <w:rsid w:val="00FC7E6C"/>
    <w:rsid w:val="00FD201A"/>
    <w:rsid w:val="00FD601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6B541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New York" w:eastAsia="Times New Roman" w:hAnsi="New York" w:cs="Times New Roman"/>
        <w:lang w:val="it-IT" w:eastAsia="it-I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lsdException w:name="heading 2" w:semiHidden="0" w:uiPriority="9" w:unhideWhenUsed="0"/>
    <w:lsdException w:name="heading 3" w:semiHidden="0" w:uiPriority="9" w:unhideWhenUsed="0"/>
    <w:lsdException w:name="heading 4" w:semiHidden="0" w:uiPriority="9" w:unhideWhenUsed="0"/>
    <w:lsdException w:name="heading 5" w:semiHidden="0" w:uiPriority="9" w:unhideWhenUsed="0"/>
    <w:lsdException w:name="heading 6" w:semiHidden="0" w:uiPriority="9" w:unhideWhenUsed="0"/>
    <w:lsdException w:name="heading 7" w:semiHidden="0" w:uiPriority="9" w:unhideWhenUsed="0"/>
    <w:lsdException w:name="heading 8" w:semiHidden="0" w:uiPriority="9" w:unhideWhenUsed="0"/>
    <w:lsdException w:name="heading 9" w:semiHidden="0" w:uiPriority="9" w:unhideWhenUsed="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uiPriority="59"/>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lsdException w:name="Intense Emphasis" w:semiHidden="0" w:uiPriority="66" w:unhideWhenUsed="0"/>
    <w:lsdException w:name="Subtle Reference" w:semiHidden="0" w:uiPriority="67" w:unhideWhenUsed="0"/>
    <w:lsdException w:name="Intense Reference" w:semiHidden="0" w:uiPriority="68" w:unhideWhenUsed="0"/>
    <w:lsdException w:name="Book Title" w:semiHidden="0" w:uiPriority="69" w:unhideWhenUsed="0"/>
    <w:lsdException w:name="Bibliography" w:uiPriority="70"/>
    <w:lsdException w:name="TOC Heading" w:uiPriority="71" w:qFormat="1"/>
  </w:latentStyles>
  <w:style w:type="paragraph" w:default="1" w:styleId="Normal">
    <w:name w:val="Normal"/>
    <w:qFormat/>
    <w:rsid w:val="00DB3CA1"/>
    <w:pPr>
      <w:widowControl w:val="0"/>
      <w:tabs>
        <w:tab w:val="left" w:pos="9498"/>
      </w:tabs>
      <w:spacing w:line="280" w:lineRule="atLeast"/>
      <w:ind w:right="-28" w:firstLine="284"/>
      <w:jc w:val="both"/>
    </w:pPr>
    <w:rPr>
      <w:rFonts w:ascii="Arial" w:hAnsi="Arial"/>
      <w:sz w:val="21"/>
    </w:rPr>
  </w:style>
  <w:style w:type="paragraph" w:styleId="Ttulo1">
    <w:name w:val="heading 1"/>
    <w:basedOn w:val="Normal"/>
    <w:next w:val="Normal"/>
    <w:pPr>
      <w:keepNext/>
      <w:pageBreakBefore/>
      <w:spacing w:before="600" w:after="240"/>
      <w:ind w:left="850" w:hanging="850"/>
      <w:jc w:val="left"/>
      <w:outlineLvl w:val="0"/>
    </w:pPr>
    <w:rPr>
      <w:b/>
      <w:sz w:val="36"/>
    </w:rPr>
  </w:style>
  <w:style w:type="paragraph" w:styleId="Ttulo2">
    <w:name w:val="heading 2"/>
    <w:basedOn w:val="Ttulo1"/>
    <w:next w:val="Normal"/>
    <w:pPr>
      <w:pageBreakBefore w:val="0"/>
      <w:spacing w:before="500" w:line="200" w:lineRule="atLeast"/>
      <w:ind w:left="142" w:hanging="119"/>
      <w:outlineLvl w:val="1"/>
    </w:pPr>
    <w:rPr>
      <w:caps/>
      <w:sz w:val="24"/>
    </w:rPr>
  </w:style>
  <w:style w:type="paragraph" w:styleId="Ttulo3">
    <w:name w:val="heading 3"/>
    <w:basedOn w:val="Ttulo2"/>
    <w:next w:val="Normal"/>
    <w:pPr>
      <w:outlineLvl w:val="2"/>
    </w:pPr>
  </w:style>
  <w:style w:type="paragraph" w:styleId="Ttulo4">
    <w:name w:val="heading 4"/>
    <w:basedOn w:val="Ttulo3"/>
    <w:next w:val="Normal"/>
    <w:pPr>
      <w:outlineLvl w:val="3"/>
    </w:pPr>
    <w:rPr>
      <w:b w:val="0"/>
      <w:u w:val="single"/>
    </w:rPr>
  </w:style>
  <w:style w:type="paragraph" w:styleId="Ttulo5">
    <w:name w:val="heading 5"/>
    <w:basedOn w:val="Ttulo4"/>
    <w:next w:val="Normal"/>
    <w:pPr>
      <w:outlineLvl w:val="4"/>
    </w:pPr>
    <w:rPr>
      <w:i/>
    </w:rPr>
  </w:style>
  <w:style w:type="paragraph" w:styleId="Ttulo6">
    <w:name w:val="heading 6"/>
    <w:basedOn w:val="Normal"/>
    <w:next w:val="Normal"/>
    <w:pPr>
      <w:ind w:left="708"/>
      <w:outlineLvl w:val="5"/>
    </w:pPr>
    <w:rPr>
      <w:sz w:val="20"/>
      <w:u w:val="single"/>
    </w:rPr>
  </w:style>
  <w:style w:type="paragraph" w:styleId="Ttulo7">
    <w:name w:val="heading 7"/>
    <w:aliases w:val="Paragrafo"/>
    <w:basedOn w:val="Normal"/>
    <w:next w:val="Normal"/>
    <w:pPr>
      <w:spacing w:before="280" w:after="120"/>
      <w:ind w:left="23" w:hanging="23"/>
      <w:outlineLvl w:val="6"/>
    </w:pPr>
    <w:rPr>
      <w:b/>
    </w:rPr>
  </w:style>
  <w:style w:type="paragraph" w:styleId="Ttulo8">
    <w:name w:val="heading 8"/>
    <w:basedOn w:val="Normal"/>
    <w:next w:val="Normal"/>
    <w:pPr>
      <w:ind w:left="708"/>
      <w:outlineLvl w:val="7"/>
    </w:pPr>
    <w:rPr>
      <w:i/>
      <w:sz w:val="20"/>
    </w:rPr>
  </w:style>
  <w:style w:type="paragraph" w:styleId="Ttulo9">
    <w:name w:val="heading 9"/>
    <w:basedOn w:val="Normal"/>
    <w:next w:val="Normal"/>
    <w:pPr>
      <w:ind w:left="708"/>
      <w:outlineLvl w:val="8"/>
    </w:pPr>
    <w:rPr>
      <w:i/>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Tilte111">
    <w:name w:val="Tilte 1.1.1"/>
    <w:basedOn w:val="Normal"/>
    <w:next w:val="TEXT"/>
    <w:link w:val="Tilte111Char"/>
    <w:rsid w:val="005315EA"/>
    <w:pPr>
      <w:spacing w:before="240" w:after="120"/>
      <w:ind w:right="0" w:firstLine="0"/>
    </w:pPr>
    <w:rPr>
      <w:i/>
      <w:szCs w:val="24"/>
    </w:rPr>
  </w:style>
  <w:style w:type="paragraph" w:customStyle="1" w:styleId="AFFILIATIONS">
    <w:name w:val="AFFILIATIONS"/>
    <w:basedOn w:val="Normal"/>
    <w:rsid w:val="007D0C07"/>
    <w:pPr>
      <w:ind w:right="0" w:firstLine="0"/>
      <w:jc w:val="left"/>
    </w:pPr>
    <w:rPr>
      <w:i/>
      <w:color w:val="000000"/>
      <w:sz w:val="28"/>
      <w:lang w:val="en-GB"/>
    </w:rPr>
  </w:style>
  <w:style w:type="paragraph" w:customStyle="1" w:styleId="SUMMARY">
    <w:name w:val="SUMMARY"/>
    <w:basedOn w:val="Normal"/>
    <w:link w:val="SUMMARYChar"/>
    <w:rsid w:val="007D0C07"/>
    <w:pPr>
      <w:spacing w:before="700"/>
      <w:ind w:right="0" w:firstLine="0"/>
    </w:pPr>
    <w:rPr>
      <w:color w:val="000000"/>
      <w:lang w:val="en-GB"/>
    </w:rPr>
  </w:style>
  <w:style w:type="paragraph" w:customStyle="1" w:styleId="TITLE1">
    <w:name w:val="TITLE 1"/>
    <w:basedOn w:val="SUMMARY"/>
    <w:link w:val="TITLE1Char"/>
    <w:rsid w:val="007D0C07"/>
    <w:pPr>
      <w:spacing w:before="500" w:after="240"/>
    </w:pPr>
    <w:rPr>
      <w:b/>
      <w:szCs w:val="24"/>
    </w:rPr>
  </w:style>
  <w:style w:type="paragraph" w:styleId="Piedepgina">
    <w:name w:val="footer"/>
    <w:basedOn w:val="Normal"/>
    <w:semiHidden/>
    <w:pPr>
      <w:tabs>
        <w:tab w:val="center" w:pos="4819"/>
        <w:tab w:val="right" w:pos="9638"/>
      </w:tabs>
    </w:pPr>
  </w:style>
  <w:style w:type="paragraph" w:customStyle="1" w:styleId="TITLE2">
    <w:name w:val="TITLE 2"/>
    <w:basedOn w:val="Normal"/>
    <w:next w:val="TEXT"/>
    <w:link w:val="TITLE2Char"/>
    <w:rsid w:val="00957A37"/>
    <w:pPr>
      <w:widowControl/>
      <w:spacing w:before="600" w:after="240"/>
      <w:ind w:right="0" w:firstLine="0"/>
    </w:pPr>
    <w:rPr>
      <w:b/>
      <w:color w:val="000000"/>
      <w:szCs w:val="24"/>
      <w:lang w:val="en-GB"/>
    </w:rPr>
  </w:style>
  <w:style w:type="paragraph" w:styleId="Encabezado">
    <w:name w:val="header"/>
    <w:basedOn w:val="Normal"/>
    <w:semiHidden/>
    <w:pPr>
      <w:tabs>
        <w:tab w:val="center" w:pos="4819"/>
        <w:tab w:val="right" w:pos="9638"/>
      </w:tabs>
    </w:pPr>
  </w:style>
  <w:style w:type="paragraph" w:customStyle="1" w:styleId="TEXT">
    <w:name w:val="TEXT"/>
    <w:basedOn w:val="Normal"/>
    <w:link w:val="TEXTChar"/>
    <w:rsid w:val="00A64980"/>
    <w:pPr>
      <w:ind w:right="0"/>
    </w:pPr>
    <w:rPr>
      <w:szCs w:val="24"/>
    </w:rPr>
  </w:style>
  <w:style w:type="paragraph" w:customStyle="1" w:styleId="Sottoparagrafo">
    <w:name w:val="Sottoparagrafo"/>
    <w:basedOn w:val="Normal"/>
    <w:semiHidden/>
    <w:pPr>
      <w:spacing w:before="240" w:after="120"/>
      <w:ind w:right="0" w:firstLine="0"/>
    </w:pPr>
    <w:rPr>
      <w:i/>
    </w:rPr>
  </w:style>
  <w:style w:type="paragraph" w:customStyle="1" w:styleId="Title10">
    <w:name w:val="Title1"/>
    <w:basedOn w:val="Normal"/>
    <w:rsid w:val="003A069A"/>
    <w:pPr>
      <w:spacing w:after="720"/>
      <w:ind w:right="0" w:firstLine="0"/>
      <w:jc w:val="left"/>
    </w:pPr>
    <w:rPr>
      <w:color w:val="000000"/>
      <w:sz w:val="48"/>
      <w:lang w:val="en-GB"/>
    </w:rPr>
  </w:style>
  <w:style w:type="paragraph" w:customStyle="1" w:styleId="AUTHOR">
    <w:name w:val="AUTHOR"/>
    <w:basedOn w:val="Normal"/>
    <w:rsid w:val="003A069A"/>
    <w:pPr>
      <w:spacing w:after="240"/>
      <w:ind w:right="0" w:firstLine="0"/>
      <w:jc w:val="left"/>
    </w:pPr>
    <w:rPr>
      <w:color w:val="000000"/>
      <w:sz w:val="28"/>
      <w:lang w:val="en-GB"/>
    </w:rPr>
  </w:style>
  <w:style w:type="paragraph" w:customStyle="1" w:styleId="Title11">
    <w:name w:val="Title 1.1"/>
    <w:basedOn w:val="TEXT"/>
    <w:link w:val="Title11Char"/>
    <w:rsid w:val="00EB598F"/>
    <w:pPr>
      <w:spacing w:after="180"/>
      <w:ind w:firstLine="0"/>
    </w:pPr>
    <w:rPr>
      <w:b/>
      <w:color w:val="000000"/>
      <w:lang w:val="en-GB"/>
    </w:rPr>
  </w:style>
  <w:style w:type="paragraph" w:customStyle="1" w:styleId="Title12">
    <w:name w:val="Title 1.2"/>
    <w:basedOn w:val="Title11"/>
    <w:next w:val="TEXT"/>
    <w:rsid w:val="00EB598F"/>
    <w:pPr>
      <w:spacing w:before="360"/>
    </w:pPr>
  </w:style>
  <w:style w:type="paragraph" w:customStyle="1" w:styleId="Tablelegend">
    <w:name w:val="Table legend"/>
    <w:basedOn w:val="Normal"/>
    <w:next w:val="TEXT"/>
    <w:rsid w:val="005315EA"/>
    <w:pPr>
      <w:spacing w:before="480" w:after="60"/>
      <w:ind w:left="1134" w:right="0" w:hanging="1134"/>
    </w:pPr>
    <w:rPr>
      <w:lang w:val="en-GB"/>
    </w:rPr>
  </w:style>
  <w:style w:type="paragraph" w:customStyle="1" w:styleId="Equation">
    <w:name w:val="Equation"/>
    <w:basedOn w:val="Normal"/>
    <w:next w:val="TEXT"/>
    <w:rsid w:val="004E6B3A"/>
    <w:pPr>
      <w:spacing w:before="240" w:after="240"/>
      <w:ind w:right="0" w:firstLine="0"/>
      <w:jc w:val="center"/>
    </w:pPr>
  </w:style>
  <w:style w:type="paragraph" w:customStyle="1" w:styleId="Table">
    <w:name w:val="Table"/>
    <w:basedOn w:val="TEXT"/>
    <w:next w:val="TEXT"/>
    <w:rsid w:val="004E6B3A"/>
    <w:pPr>
      <w:spacing w:after="480"/>
    </w:pPr>
  </w:style>
  <w:style w:type="paragraph" w:customStyle="1" w:styleId="FIGURE">
    <w:name w:val="FIGURE"/>
    <w:basedOn w:val="Normal"/>
    <w:rsid w:val="00F524FB"/>
    <w:pPr>
      <w:spacing w:before="480" w:after="240"/>
      <w:ind w:right="0" w:firstLine="0"/>
      <w:jc w:val="center"/>
    </w:pPr>
  </w:style>
  <w:style w:type="paragraph" w:customStyle="1" w:styleId="Figurelegend">
    <w:name w:val="Figure legend"/>
    <w:basedOn w:val="Normal"/>
    <w:next w:val="TEXT"/>
    <w:rsid w:val="007E20A1"/>
    <w:pPr>
      <w:spacing w:before="120" w:after="480"/>
      <w:ind w:left="992" w:right="0" w:hanging="992"/>
    </w:pPr>
    <w:rPr>
      <w:lang w:val="en-GB"/>
    </w:rPr>
  </w:style>
  <w:style w:type="paragraph" w:customStyle="1" w:styleId="List1">
    <w:name w:val="List1"/>
    <w:basedOn w:val="Normal"/>
    <w:rsid w:val="00957A37"/>
    <w:pPr>
      <w:numPr>
        <w:numId w:val="5"/>
      </w:numPr>
      <w:ind w:right="0"/>
    </w:pPr>
    <w:rPr>
      <w:szCs w:val="24"/>
    </w:rPr>
  </w:style>
  <w:style w:type="paragraph" w:customStyle="1" w:styleId="REFERENCES">
    <w:name w:val="REFERENCES"/>
    <w:basedOn w:val="Normal"/>
    <w:next w:val="TEXT"/>
    <w:link w:val="REFERENCESChar"/>
    <w:rsid w:val="00CC6706"/>
    <w:pPr>
      <w:spacing w:after="60"/>
      <w:ind w:left="284" w:right="0" w:hanging="284"/>
    </w:pPr>
    <w:rPr>
      <w:lang w:val="da-DK"/>
    </w:rPr>
  </w:style>
  <w:style w:type="table" w:styleId="Tablaconcuadrcula">
    <w:name w:val="Table Grid"/>
    <w:basedOn w:val="Tablanormal"/>
    <w:uiPriority w:val="59"/>
    <w:rsid w:val="00DD2061"/>
    <w:pPr>
      <w:widowControl w:val="0"/>
      <w:tabs>
        <w:tab w:val="left" w:pos="9498"/>
      </w:tabs>
      <w:spacing w:line="280" w:lineRule="atLeast"/>
      <w:ind w:right="-28" w:firstLine="284"/>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unhideWhenUsed/>
    <w:rsid w:val="00E85258"/>
    <w:rPr>
      <w:color w:val="0000FF"/>
      <w:u w:val="single"/>
    </w:rPr>
  </w:style>
  <w:style w:type="paragraph" w:styleId="Textodeglobo">
    <w:name w:val="Balloon Text"/>
    <w:basedOn w:val="Normal"/>
    <w:link w:val="TextodegloboCar"/>
    <w:uiPriority w:val="99"/>
    <w:semiHidden/>
    <w:unhideWhenUsed/>
    <w:rsid w:val="00E41E66"/>
    <w:pPr>
      <w:spacing w:line="240" w:lineRule="auto"/>
    </w:pPr>
    <w:rPr>
      <w:rFonts w:ascii="Tahoma" w:hAnsi="Tahoma" w:cs="Tahoma"/>
      <w:sz w:val="16"/>
      <w:szCs w:val="16"/>
    </w:rPr>
  </w:style>
  <w:style w:type="character" w:customStyle="1" w:styleId="TextodegloboCar">
    <w:name w:val="Texto de globo Car"/>
    <w:link w:val="Textodeglobo"/>
    <w:uiPriority w:val="99"/>
    <w:semiHidden/>
    <w:rsid w:val="00E41E66"/>
    <w:rPr>
      <w:rFonts w:ascii="Tahoma" w:hAnsi="Tahoma" w:cs="Tahoma"/>
      <w:sz w:val="16"/>
      <w:szCs w:val="16"/>
    </w:rPr>
  </w:style>
  <w:style w:type="paragraph" w:customStyle="1" w:styleId="TableGrid1">
    <w:name w:val="Table Grid1"/>
    <w:rsid w:val="00077A7E"/>
    <w:rPr>
      <w:rFonts w:ascii="Cambria" w:eastAsia="ヒラギノ角ゴ Pro W3" w:hAnsi="Cambria"/>
      <w:color w:val="000000"/>
      <w:sz w:val="24"/>
      <w:lang w:val="en-US" w:eastAsia="en-US"/>
    </w:rPr>
  </w:style>
  <w:style w:type="paragraph" w:customStyle="1" w:styleId="Tabelle">
    <w:name w:val="Tabelle"/>
    <w:basedOn w:val="Normal"/>
    <w:link w:val="TabelleChar"/>
    <w:qFormat/>
    <w:rsid w:val="00356C74"/>
    <w:pPr>
      <w:spacing w:line="240" w:lineRule="auto"/>
      <w:ind w:firstLine="34"/>
      <w:jc w:val="left"/>
    </w:pPr>
    <w:rPr>
      <w:rFonts w:ascii="Helvetica" w:hAnsi="Helvetica" w:cs="Helvetica"/>
      <w:sz w:val="18"/>
      <w:szCs w:val="18"/>
      <w:lang w:val="en-US"/>
    </w:rPr>
  </w:style>
  <w:style w:type="paragraph" w:customStyle="1" w:styleId="References0">
    <w:name w:val="References"/>
    <w:basedOn w:val="REFERENCES"/>
    <w:link w:val="ReferencesChar0"/>
    <w:qFormat/>
    <w:rsid w:val="006D66A5"/>
    <w:pPr>
      <w:spacing w:after="0"/>
    </w:pPr>
    <w:rPr>
      <w:rFonts w:cs="Arial"/>
      <w:sz w:val="19"/>
      <w:szCs w:val="21"/>
      <w:lang w:val="en-US"/>
    </w:rPr>
  </w:style>
  <w:style w:type="character" w:customStyle="1" w:styleId="TabelleChar">
    <w:name w:val="Tabelle Char"/>
    <w:link w:val="Tabelle"/>
    <w:rsid w:val="00356C74"/>
    <w:rPr>
      <w:rFonts w:ascii="Helvetica" w:hAnsi="Helvetica" w:cs="Helvetica"/>
      <w:sz w:val="18"/>
      <w:szCs w:val="18"/>
      <w:lang w:val="en-US"/>
    </w:rPr>
  </w:style>
  <w:style w:type="paragraph" w:customStyle="1" w:styleId="Paragrafoprincipale">
    <w:name w:val="Paragrafo principale"/>
    <w:basedOn w:val="TITLE1"/>
    <w:link w:val="ParagrafoprincipaleChar"/>
    <w:qFormat/>
    <w:rsid w:val="00011612"/>
    <w:pPr>
      <w:numPr>
        <w:numId w:val="11"/>
      </w:numPr>
      <w:tabs>
        <w:tab w:val="clear" w:pos="9498"/>
        <w:tab w:val="left" w:pos="0"/>
      </w:tabs>
      <w:spacing w:before="600"/>
      <w:ind w:left="357" w:hanging="357"/>
    </w:pPr>
    <w:rPr>
      <w:rFonts w:cs="Arial"/>
      <w:sz w:val="22"/>
      <w:szCs w:val="23"/>
      <w:lang w:val="en-US"/>
    </w:rPr>
  </w:style>
  <w:style w:type="character" w:customStyle="1" w:styleId="REFERENCESChar">
    <w:name w:val="REFERENCES Char"/>
    <w:link w:val="REFERENCES"/>
    <w:rsid w:val="00A660DF"/>
    <w:rPr>
      <w:rFonts w:ascii="Arial" w:hAnsi="Arial"/>
      <w:sz w:val="21"/>
      <w:lang w:val="da-DK"/>
    </w:rPr>
  </w:style>
  <w:style w:type="character" w:customStyle="1" w:styleId="ReferencesChar0">
    <w:name w:val="References Char"/>
    <w:link w:val="References0"/>
    <w:rsid w:val="006D66A5"/>
    <w:rPr>
      <w:rFonts w:ascii="Arial" w:hAnsi="Arial" w:cs="Arial"/>
      <w:sz w:val="19"/>
      <w:szCs w:val="21"/>
      <w:lang w:val="en-US"/>
    </w:rPr>
  </w:style>
  <w:style w:type="paragraph" w:customStyle="1" w:styleId="Paragrafononnumerato">
    <w:name w:val="Paragrafo non numerato"/>
    <w:basedOn w:val="TITLE2"/>
    <w:link w:val="ParagrafononnumeratoChar"/>
    <w:qFormat/>
    <w:rsid w:val="00011612"/>
    <w:rPr>
      <w:rFonts w:cs="Arial"/>
      <w:sz w:val="22"/>
      <w:szCs w:val="23"/>
      <w:lang w:val="en-US"/>
    </w:rPr>
  </w:style>
  <w:style w:type="character" w:customStyle="1" w:styleId="SUMMARYChar">
    <w:name w:val="SUMMARY Char"/>
    <w:link w:val="SUMMARY"/>
    <w:rsid w:val="00C108B2"/>
    <w:rPr>
      <w:rFonts w:ascii="Arial" w:hAnsi="Arial"/>
      <w:color w:val="000000"/>
      <w:sz w:val="21"/>
      <w:lang w:val="en-GB"/>
    </w:rPr>
  </w:style>
  <w:style w:type="character" w:customStyle="1" w:styleId="TITLE1Char">
    <w:name w:val="TITLE 1 Char"/>
    <w:link w:val="TITLE1"/>
    <w:rsid w:val="00C108B2"/>
    <w:rPr>
      <w:rFonts w:ascii="Arial" w:hAnsi="Arial"/>
      <w:b/>
      <w:color w:val="000000"/>
      <w:sz w:val="21"/>
      <w:szCs w:val="24"/>
      <w:lang w:val="en-GB"/>
    </w:rPr>
  </w:style>
  <w:style w:type="character" w:customStyle="1" w:styleId="ParagrafoprincipaleChar">
    <w:name w:val="Paragrafo principale Char"/>
    <w:link w:val="Paragrafoprincipale"/>
    <w:rsid w:val="00011612"/>
    <w:rPr>
      <w:rFonts w:ascii="Arial" w:hAnsi="Arial" w:cs="Arial"/>
      <w:b/>
      <w:color w:val="000000"/>
      <w:sz w:val="22"/>
      <w:szCs w:val="23"/>
      <w:lang w:val="en-US"/>
    </w:rPr>
  </w:style>
  <w:style w:type="paragraph" w:customStyle="1" w:styleId="Paragrafosecondario">
    <w:name w:val="Paragrafo secondario"/>
    <w:basedOn w:val="Title12"/>
    <w:link w:val="ParagrafosecondarioChar"/>
    <w:qFormat/>
    <w:rsid w:val="00011612"/>
    <w:rPr>
      <w:rFonts w:cs="Arial"/>
      <w:sz w:val="22"/>
      <w:szCs w:val="23"/>
      <w:lang w:val="en-US"/>
    </w:rPr>
  </w:style>
  <w:style w:type="character" w:customStyle="1" w:styleId="TITLE2Char">
    <w:name w:val="TITLE 2 Char"/>
    <w:link w:val="TITLE2"/>
    <w:rsid w:val="00C9181F"/>
    <w:rPr>
      <w:rFonts w:ascii="Arial" w:hAnsi="Arial"/>
      <w:b/>
      <w:color w:val="000000"/>
      <w:sz w:val="21"/>
      <w:szCs w:val="24"/>
      <w:lang w:val="en-GB"/>
    </w:rPr>
  </w:style>
  <w:style w:type="character" w:customStyle="1" w:styleId="ParagrafononnumeratoChar">
    <w:name w:val="Paragrafo non numerato Char"/>
    <w:link w:val="Paragrafononnumerato"/>
    <w:rsid w:val="00011612"/>
    <w:rPr>
      <w:rFonts w:ascii="Arial" w:hAnsi="Arial" w:cs="Arial"/>
      <w:b/>
      <w:color w:val="000000"/>
      <w:sz w:val="22"/>
      <w:szCs w:val="23"/>
      <w:lang w:val="en-US"/>
    </w:rPr>
  </w:style>
  <w:style w:type="paragraph" w:customStyle="1" w:styleId="Abstract">
    <w:name w:val="Abstract"/>
    <w:basedOn w:val="SUMMARY"/>
    <w:link w:val="AbstractChar"/>
    <w:qFormat/>
    <w:rsid w:val="00C9181F"/>
    <w:pPr>
      <w:spacing w:before="600"/>
    </w:pPr>
    <w:rPr>
      <w:rFonts w:cs="Arial"/>
      <w:szCs w:val="21"/>
      <w:lang w:val="en-US"/>
    </w:rPr>
  </w:style>
  <w:style w:type="character" w:customStyle="1" w:styleId="TEXTChar">
    <w:name w:val="TEXT Char"/>
    <w:link w:val="TEXT"/>
    <w:rsid w:val="00C9181F"/>
    <w:rPr>
      <w:rFonts w:ascii="Arial" w:hAnsi="Arial"/>
      <w:sz w:val="21"/>
      <w:szCs w:val="24"/>
    </w:rPr>
  </w:style>
  <w:style w:type="character" w:customStyle="1" w:styleId="Title11Char">
    <w:name w:val="Title 1.1 Char"/>
    <w:link w:val="Title11"/>
    <w:rsid w:val="00C9181F"/>
    <w:rPr>
      <w:rFonts w:ascii="Arial" w:hAnsi="Arial"/>
      <w:b/>
      <w:color w:val="000000"/>
      <w:sz w:val="21"/>
      <w:szCs w:val="24"/>
      <w:lang w:val="en-GB"/>
    </w:rPr>
  </w:style>
  <w:style w:type="character" w:customStyle="1" w:styleId="ParagrafosecondarioChar">
    <w:name w:val="Paragrafo secondario Char"/>
    <w:link w:val="Paragrafosecondario"/>
    <w:rsid w:val="00011612"/>
    <w:rPr>
      <w:rFonts w:ascii="Arial" w:hAnsi="Arial" w:cs="Arial"/>
      <w:b/>
      <w:color w:val="000000"/>
      <w:sz w:val="22"/>
      <w:szCs w:val="23"/>
      <w:lang w:val="en-US"/>
    </w:rPr>
  </w:style>
  <w:style w:type="paragraph" w:customStyle="1" w:styleId="Sottosottoparagrafo">
    <w:name w:val="Sottosotto paragrafo"/>
    <w:basedOn w:val="Tilte111"/>
    <w:link w:val="SottosottoparagrafoChar"/>
    <w:qFormat/>
    <w:rsid w:val="00F02A1F"/>
    <w:rPr>
      <w:rFonts w:cs="Arial"/>
      <w:szCs w:val="21"/>
      <w:lang w:val="en-GB"/>
    </w:rPr>
  </w:style>
  <w:style w:type="character" w:customStyle="1" w:styleId="AbstractChar">
    <w:name w:val="Abstract Char"/>
    <w:link w:val="Abstract"/>
    <w:rsid w:val="00C9181F"/>
    <w:rPr>
      <w:rFonts w:ascii="Arial" w:hAnsi="Arial" w:cs="Arial"/>
      <w:color w:val="000000"/>
      <w:sz w:val="21"/>
      <w:szCs w:val="21"/>
      <w:lang w:val="en-US"/>
    </w:rPr>
  </w:style>
  <w:style w:type="character" w:customStyle="1" w:styleId="Tilte111Char">
    <w:name w:val="Tilte 1.1.1 Char"/>
    <w:link w:val="Tilte111"/>
    <w:rsid w:val="00F02A1F"/>
    <w:rPr>
      <w:rFonts w:ascii="Arial" w:hAnsi="Arial"/>
      <w:i/>
      <w:sz w:val="21"/>
      <w:szCs w:val="24"/>
    </w:rPr>
  </w:style>
  <w:style w:type="character" w:customStyle="1" w:styleId="SottosottoparagrafoChar">
    <w:name w:val="Sottosotto paragrafo Char"/>
    <w:link w:val="Sottosottoparagrafo"/>
    <w:rsid w:val="00F02A1F"/>
    <w:rPr>
      <w:rFonts w:ascii="Arial" w:hAnsi="Arial" w:cs="Arial"/>
      <w:i/>
      <w:sz w:val="21"/>
      <w:szCs w:val="21"/>
      <w:lang w:val="en-GB"/>
    </w:rPr>
  </w:style>
  <w:style w:type="paragraph" w:styleId="Prrafodelista">
    <w:name w:val="List Paragraph"/>
    <w:basedOn w:val="Normal"/>
    <w:uiPriority w:val="72"/>
    <w:rsid w:val="00AC31F4"/>
    <w:pPr>
      <w:ind w:left="720"/>
      <w:contextualSpacing/>
    </w:pPr>
    <w:rPr>
      <w:rFonts w:eastAsia="Arial" w:cs="Arial"/>
      <w:szCs w:val="21"/>
      <w:lang w:val="en-US" w:eastAsia="es-ES"/>
    </w:rPr>
  </w:style>
  <w:style w:type="character" w:styleId="Refdecomentario">
    <w:name w:val="annotation reference"/>
    <w:basedOn w:val="Fuentedeprrafopredeter"/>
    <w:uiPriority w:val="99"/>
    <w:semiHidden/>
    <w:unhideWhenUsed/>
    <w:rsid w:val="007C163B"/>
    <w:rPr>
      <w:sz w:val="16"/>
      <w:szCs w:val="16"/>
    </w:rPr>
  </w:style>
  <w:style w:type="paragraph" w:styleId="Textocomentario">
    <w:name w:val="annotation text"/>
    <w:basedOn w:val="Normal"/>
    <w:link w:val="TextocomentarioCar"/>
    <w:uiPriority w:val="99"/>
    <w:semiHidden/>
    <w:unhideWhenUsed/>
    <w:rsid w:val="007C163B"/>
    <w:pPr>
      <w:spacing w:line="240" w:lineRule="auto"/>
    </w:pPr>
    <w:rPr>
      <w:rFonts w:eastAsia="Arial" w:cs="Arial"/>
      <w:sz w:val="20"/>
      <w:lang w:val="en-US" w:eastAsia="es-ES"/>
    </w:rPr>
  </w:style>
  <w:style w:type="character" w:customStyle="1" w:styleId="TextocomentarioCar">
    <w:name w:val="Texto comentario Car"/>
    <w:basedOn w:val="Fuentedeprrafopredeter"/>
    <w:link w:val="Textocomentario"/>
    <w:uiPriority w:val="99"/>
    <w:semiHidden/>
    <w:rsid w:val="007C163B"/>
    <w:rPr>
      <w:rFonts w:ascii="Arial" w:eastAsia="Arial" w:hAnsi="Arial" w:cs="Arial"/>
      <w:lang w:val="en-US" w:eastAsia="es-ES"/>
    </w:rPr>
  </w:style>
  <w:style w:type="paragraph" w:styleId="Asuntodelcomentario">
    <w:name w:val="annotation subject"/>
    <w:basedOn w:val="Textocomentario"/>
    <w:next w:val="Textocomentario"/>
    <w:link w:val="AsuntodelcomentarioCar"/>
    <w:uiPriority w:val="99"/>
    <w:semiHidden/>
    <w:unhideWhenUsed/>
    <w:rsid w:val="00AC083B"/>
    <w:rPr>
      <w:rFonts w:eastAsia="Times New Roman" w:cs="Times New Roman"/>
      <w:b/>
      <w:bCs/>
      <w:lang w:val="it-IT" w:eastAsia="it-IT"/>
    </w:rPr>
  </w:style>
  <w:style w:type="character" w:customStyle="1" w:styleId="AsuntodelcomentarioCar">
    <w:name w:val="Asunto del comentario Car"/>
    <w:basedOn w:val="TextocomentarioCar"/>
    <w:link w:val="Asuntodelcomentario"/>
    <w:uiPriority w:val="99"/>
    <w:semiHidden/>
    <w:rsid w:val="00AC083B"/>
    <w:rPr>
      <w:rFonts w:ascii="Arial" w:eastAsia="Arial" w:hAnsi="Arial" w:cs="Arial"/>
      <w:b/>
      <w:bCs/>
      <w:lang w:val="en-US"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New York" w:eastAsia="Times New Roman" w:hAnsi="New York" w:cs="Times New Roman"/>
        <w:lang w:val="it-IT" w:eastAsia="it-I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lsdException w:name="heading 2" w:semiHidden="0" w:uiPriority="9" w:unhideWhenUsed="0"/>
    <w:lsdException w:name="heading 3" w:semiHidden="0" w:uiPriority="9" w:unhideWhenUsed="0"/>
    <w:lsdException w:name="heading 4" w:semiHidden="0" w:uiPriority="9" w:unhideWhenUsed="0"/>
    <w:lsdException w:name="heading 5" w:semiHidden="0" w:uiPriority="9" w:unhideWhenUsed="0"/>
    <w:lsdException w:name="heading 6" w:semiHidden="0" w:uiPriority="9" w:unhideWhenUsed="0"/>
    <w:lsdException w:name="heading 7" w:semiHidden="0" w:uiPriority="9" w:unhideWhenUsed="0"/>
    <w:lsdException w:name="heading 8" w:semiHidden="0" w:uiPriority="9" w:unhideWhenUsed="0"/>
    <w:lsdException w:name="heading 9" w:semiHidden="0" w:uiPriority="9" w:unhideWhenUsed="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uiPriority="59"/>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lsdException w:name="Intense Emphasis" w:semiHidden="0" w:uiPriority="66" w:unhideWhenUsed="0"/>
    <w:lsdException w:name="Subtle Reference" w:semiHidden="0" w:uiPriority="67" w:unhideWhenUsed="0"/>
    <w:lsdException w:name="Intense Reference" w:semiHidden="0" w:uiPriority="68" w:unhideWhenUsed="0"/>
    <w:lsdException w:name="Book Title" w:semiHidden="0" w:uiPriority="69" w:unhideWhenUsed="0"/>
    <w:lsdException w:name="Bibliography" w:uiPriority="70"/>
    <w:lsdException w:name="TOC Heading" w:uiPriority="71" w:qFormat="1"/>
  </w:latentStyles>
  <w:style w:type="paragraph" w:default="1" w:styleId="Normal">
    <w:name w:val="Normal"/>
    <w:qFormat/>
    <w:rsid w:val="00DB3CA1"/>
    <w:pPr>
      <w:widowControl w:val="0"/>
      <w:tabs>
        <w:tab w:val="left" w:pos="9498"/>
      </w:tabs>
      <w:spacing w:line="280" w:lineRule="atLeast"/>
      <w:ind w:right="-28" w:firstLine="284"/>
      <w:jc w:val="both"/>
    </w:pPr>
    <w:rPr>
      <w:rFonts w:ascii="Arial" w:hAnsi="Arial"/>
      <w:sz w:val="21"/>
    </w:rPr>
  </w:style>
  <w:style w:type="paragraph" w:styleId="Ttulo1">
    <w:name w:val="heading 1"/>
    <w:basedOn w:val="Normal"/>
    <w:next w:val="Normal"/>
    <w:pPr>
      <w:keepNext/>
      <w:pageBreakBefore/>
      <w:spacing w:before="600" w:after="240"/>
      <w:ind w:left="850" w:hanging="850"/>
      <w:jc w:val="left"/>
      <w:outlineLvl w:val="0"/>
    </w:pPr>
    <w:rPr>
      <w:b/>
      <w:sz w:val="36"/>
    </w:rPr>
  </w:style>
  <w:style w:type="paragraph" w:styleId="Ttulo2">
    <w:name w:val="heading 2"/>
    <w:basedOn w:val="Ttulo1"/>
    <w:next w:val="Normal"/>
    <w:pPr>
      <w:pageBreakBefore w:val="0"/>
      <w:spacing w:before="500" w:line="200" w:lineRule="atLeast"/>
      <w:ind w:left="142" w:hanging="119"/>
      <w:outlineLvl w:val="1"/>
    </w:pPr>
    <w:rPr>
      <w:caps/>
      <w:sz w:val="24"/>
    </w:rPr>
  </w:style>
  <w:style w:type="paragraph" w:styleId="Ttulo3">
    <w:name w:val="heading 3"/>
    <w:basedOn w:val="Ttulo2"/>
    <w:next w:val="Normal"/>
    <w:pPr>
      <w:outlineLvl w:val="2"/>
    </w:pPr>
  </w:style>
  <w:style w:type="paragraph" w:styleId="Ttulo4">
    <w:name w:val="heading 4"/>
    <w:basedOn w:val="Ttulo3"/>
    <w:next w:val="Normal"/>
    <w:pPr>
      <w:outlineLvl w:val="3"/>
    </w:pPr>
    <w:rPr>
      <w:b w:val="0"/>
      <w:u w:val="single"/>
    </w:rPr>
  </w:style>
  <w:style w:type="paragraph" w:styleId="Ttulo5">
    <w:name w:val="heading 5"/>
    <w:basedOn w:val="Ttulo4"/>
    <w:next w:val="Normal"/>
    <w:pPr>
      <w:outlineLvl w:val="4"/>
    </w:pPr>
    <w:rPr>
      <w:i/>
    </w:rPr>
  </w:style>
  <w:style w:type="paragraph" w:styleId="Ttulo6">
    <w:name w:val="heading 6"/>
    <w:basedOn w:val="Normal"/>
    <w:next w:val="Normal"/>
    <w:pPr>
      <w:ind w:left="708"/>
      <w:outlineLvl w:val="5"/>
    </w:pPr>
    <w:rPr>
      <w:sz w:val="20"/>
      <w:u w:val="single"/>
    </w:rPr>
  </w:style>
  <w:style w:type="paragraph" w:styleId="Ttulo7">
    <w:name w:val="heading 7"/>
    <w:aliases w:val="Paragrafo"/>
    <w:basedOn w:val="Normal"/>
    <w:next w:val="Normal"/>
    <w:pPr>
      <w:spacing w:before="280" w:after="120"/>
      <w:ind w:left="23" w:hanging="23"/>
      <w:outlineLvl w:val="6"/>
    </w:pPr>
    <w:rPr>
      <w:b/>
    </w:rPr>
  </w:style>
  <w:style w:type="paragraph" w:styleId="Ttulo8">
    <w:name w:val="heading 8"/>
    <w:basedOn w:val="Normal"/>
    <w:next w:val="Normal"/>
    <w:pPr>
      <w:ind w:left="708"/>
      <w:outlineLvl w:val="7"/>
    </w:pPr>
    <w:rPr>
      <w:i/>
      <w:sz w:val="20"/>
    </w:rPr>
  </w:style>
  <w:style w:type="paragraph" w:styleId="Ttulo9">
    <w:name w:val="heading 9"/>
    <w:basedOn w:val="Normal"/>
    <w:next w:val="Normal"/>
    <w:pPr>
      <w:ind w:left="708"/>
      <w:outlineLvl w:val="8"/>
    </w:pPr>
    <w:rPr>
      <w:i/>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Tilte111">
    <w:name w:val="Tilte 1.1.1"/>
    <w:basedOn w:val="Normal"/>
    <w:next w:val="TEXT"/>
    <w:link w:val="Tilte111Char"/>
    <w:rsid w:val="005315EA"/>
    <w:pPr>
      <w:spacing w:before="240" w:after="120"/>
      <w:ind w:right="0" w:firstLine="0"/>
    </w:pPr>
    <w:rPr>
      <w:i/>
      <w:szCs w:val="24"/>
    </w:rPr>
  </w:style>
  <w:style w:type="paragraph" w:customStyle="1" w:styleId="AFFILIATIONS">
    <w:name w:val="AFFILIATIONS"/>
    <w:basedOn w:val="Normal"/>
    <w:rsid w:val="007D0C07"/>
    <w:pPr>
      <w:ind w:right="0" w:firstLine="0"/>
      <w:jc w:val="left"/>
    </w:pPr>
    <w:rPr>
      <w:i/>
      <w:color w:val="000000"/>
      <w:sz w:val="28"/>
      <w:lang w:val="en-GB"/>
    </w:rPr>
  </w:style>
  <w:style w:type="paragraph" w:customStyle="1" w:styleId="SUMMARY">
    <w:name w:val="SUMMARY"/>
    <w:basedOn w:val="Normal"/>
    <w:link w:val="SUMMARYChar"/>
    <w:rsid w:val="007D0C07"/>
    <w:pPr>
      <w:spacing w:before="700"/>
      <w:ind w:right="0" w:firstLine="0"/>
    </w:pPr>
    <w:rPr>
      <w:color w:val="000000"/>
      <w:lang w:val="en-GB"/>
    </w:rPr>
  </w:style>
  <w:style w:type="paragraph" w:customStyle="1" w:styleId="TITLE1">
    <w:name w:val="TITLE 1"/>
    <w:basedOn w:val="SUMMARY"/>
    <w:link w:val="TITLE1Char"/>
    <w:rsid w:val="007D0C07"/>
    <w:pPr>
      <w:spacing w:before="500" w:after="240"/>
    </w:pPr>
    <w:rPr>
      <w:b/>
      <w:szCs w:val="24"/>
    </w:rPr>
  </w:style>
  <w:style w:type="paragraph" w:styleId="Piedepgina">
    <w:name w:val="footer"/>
    <w:basedOn w:val="Normal"/>
    <w:semiHidden/>
    <w:pPr>
      <w:tabs>
        <w:tab w:val="center" w:pos="4819"/>
        <w:tab w:val="right" w:pos="9638"/>
      </w:tabs>
    </w:pPr>
  </w:style>
  <w:style w:type="paragraph" w:customStyle="1" w:styleId="TITLE2">
    <w:name w:val="TITLE 2"/>
    <w:basedOn w:val="Normal"/>
    <w:next w:val="TEXT"/>
    <w:link w:val="TITLE2Char"/>
    <w:rsid w:val="00957A37"/>
    <w:pPr>
      <w:widowControl/>
      <w:spacing w:before="600" w:after="240"/>
      <w:ind w:right="0" w:firstLine="0"/>
    </w:pPr>
    <w:rPr>
      <w:b/>
      <w:color w:val="000000"/>
      <w:szCs w:val="24"/>
      <w:lang w:val="en-GB"/>
    </w:rPr>
  </w:style>
  <w:style w:type="paragraph" w:styleId="Encabezado">
    <w:name w:val="header"/>
    <w:basedOn w:val="Normal"/>
    <w:semiHidden/>
    <w:pPr>
      <w:tabs>
        <w:tab w:val="center" w:pos="4819"/>
        <w:tab w:val="right" w:pos="9638"/>
      </w:tabs>
    </w:pPr>
  </w:style>
  <w:style w:type="paragraph" w:customStyle="1" w:styleId="TEXT">
    <w:name w:val="TEXT"/>
    <w:basedOn w:val="Normal"/>
    <w:link w:val="TEXTChar"/>
    <w:rsid w:val="00A64980"/>
    <w:pPr>
      <w:ind w:right="0"/>
    </w:pPr>
    <w:rPr>
      <w:szCs w:val="24"/>
    </w:rPr>
  </w:style>
  <w:style w:type="paragraph" w:customStyle="1" w:styleId="Sottoparagrafo">
    <w:name w:val="Sottoparagrafo"/>
    <w:basedOn w:val="Normal"/>
    <w:semiHidden/>
    <w:pPr>
      <w:spacing w:before="240" w:after="120"/>
      <w:ind w:right="0" w:firstLine="0"/>
    </w:pPr>
    <w:rPr>
      <w:i/>
    </w:rPr>
  </w:style>
  <w:style w:type="paragraph" w:customStyle="1" w:styleId="Title10">
    <w:name w:val="Title1"/>
    <w:basedOn w:val="Normal"/>
    <w:rsid w:val="003A069A"/>
    <w:pPr>
      <w:spacing w:after="720"/>
      <w:ind w:right="0" w:firstLine="0"/>
      <w:jc w:val="left"/>
    </w:pPr>
    <w:rPr>
      <w:color w:val="000000"/>
      <w:sz w:val="48"/>
      <w:lang w:val="en-GB"/>
    </w:rPr>
  </w:style>
  <w:style w:type="paragraph" w:customStyle="1" w:styleId="AUTHOR">
    <w:name w:val="AUTHOR"/>
    <w:basedOn w:val="Normal"/>
    <w:rsid w:val="003A069A"/>
    <w:pPr>
      <w:spacing w:after="240"/>
      <w:ind w:right="0" w:firstLine="0"/>
      <w:jc w:val="left"/>
    </w:pPr>
    <w:rPr>
      <w:color w:val="000000"/>
      <w:sz w:val="28"/>
      <w:lang w:val="en-GB"/>
    </w:rPr>
  </w:style>
  <w:style w:type="paragraph" w:customStyle="1" w:styleId="Title11">
    <w:name w:val="Title 1.1"/>
    <w:basedOn w:val="TEXT"/>
    <w:link w:val="Title11Char"/>
    <w:rsid w:val="00EB598F"/>
    <w:pPr>
      <w:spacing w:after="180"/>
      <w:ind w:firstLine="0"/>
    </w:pPr>
    <w:rPr>
      <w:b/>
      <w:color w:val="000000"/>
      <w:lang w:val="en-GB"/>
    </w:rPr>
  </w:style>
  <w:style w:type="paragraph" w:customStyle="1" w:styleId="Title12">
    <w:name w:val="Title 1.2"/>
    <w:basedOn w:val="Title11"/>
    <w:next w:val="TEXT"/>
    <w:rsid w:val="00EB598F"/>
    <w:pPr>
      <w:spacing w:before="360"/>
    </w:pPr>
  </w:style>
  <w:style w:type="paragraph" w:customStyle="1" w:styleId="Tablelegend">
    <w:name w:val="Table legend"/>
    <w:basedOn w:val="Normal"/>
    <w:next w:val="TEXT"/>
    <w:rsid w:val="005315EA"/>
    <w:pPr>
      <w:spacing w:before="480" w:after="60"/>
      <w:ind w:left="1134" w:right="0" w:hanging="1134"/>
    </w:pPr>
    <w:rPr>
      <w:lang w:val="en-GB"/>
    </w:rPr>
  </w:style>
  <w:style w:type="paragraph" w:customStyle="1" w:styleId="Equation">
    <w:name w:val="Equation"/>
    <w:basedOn w:val="Normal"/>
    <w:next w:val="TEXT"/>
    <w:rsid w:val="004E6B3A"/>
    <w:pPr>
      <w:spacing w:before="240" w:after="240"/>
      <w:ind w:right="0" w:firstLine="0"/>
      <w:jc w:val="center"/>
    </w:pPr>
  </w:style>
  <w:style w:type="paragraph" w:customStyle="1" w:styleId="Table">
    <w:name w:val="Table"/>
    <w:basedOn w:val="TEXT"/>
    <w:next w:val="TEXT"/>
    <w:rsid w:val="004E6B3A"/>
    <w:pPr>
      <w:spacing w:after="480"/>
    </w:pPr>
  </w:style>
  <w:style w:type="paragraph" w:customStyle="1" w:styleId="FIGURE">
    <w:name w:val="FIGURE"/>
    <w:basedOn w:val="Normal"/>
    <w:rsid w:val="00F524FB"/>
    <w:pPr>
      <w:spacing w:before="480" w:after="240"/>
      <w:ind w:right="0" w:firstLine="0"/>
      <w:jc w:val="center"/>
    </w:pPr>
  </w:style>
  <w:style w:type="paragraph" w:customStyle="1" w:styleId="Figurelegend">
    <w:name w:val="Figure legend"/>
    <w:basedOn w:val="Normal"/>
    <w:next w:val="TEXT"/>
    <w:rsid w:val="007E20A1"/>
    <w:pPr>
      <w:spacing w:before="120" w:after="480"/>
      <w:ind w:left="992" w:right="0" w:hanging="992"/>
    </w:pPr>
    <w:rPr>
      <w:lang w:val="en-GB"/>
    </w:rPr>
  </w:style>
  <w:style w:type="paragraph" w:customStyle="1" w:styleId="List1">
    <w:name w:val="List1"/>
    <w:basedOn w:val="Normal"/>
    <w:rsid w:val="00957A37"/>
    <w:pPr>
      <w:numPr>
        <w:numId w:val="5"/>
      </w:numPr>
      <w:ind w:right="0"/>
    </w:pPr>
    <w:rPr>
      <w:szCs w:val="24"/>
    </w:rPr>
  </w:style>
  <w:style w:type="paragraph" w:customStyle="1" w:styleId="REFERENCES">
    <w:name w:val="REFERENCES"/>
    <w:basedOn w:val="Normal"/>
    <w:next w:val="TEXT"/>
    <w:link w:val="REFERENCESChar"/>
    <w:rsid w:val="00CC6706"/>
    <w:pPr>
      <w:spacing w:after="60"/>
      <w:ind w:left="284" w:right="0" w:hanging="284"/>
    </w:pPr>
    <w:rPr>
      <w:lang w:val="da-DK"/>
    </w:rPr>
  </w:style>
  <w:style w:type="table" w:styleId="Tablaconcuadrcula">
    <w:name w:val="Table Grid"/>
    <w:basedOn w:val="Tablanormal"/>
    <w:uiPriority w:val="59"/>
    <w:rsid w:val="00DD2061"/>
    <w:pPr>
      <w:widowControl w:val="0"/>
      <w:tabs>
        <w:tab w:val="left" w:pos="9498"/>
      </w:tabs>
      <w:spacing w:line="280" w:lineRule="atLeast"/>
      <w:ind w:right="-28" w:firstLine="284"/>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unhideWhenUsed/>
    <w:rsid w:val="00E85258"/>
    <w:rPr>
      <w:color w:val="0000FF"/>
      <w:u w:val="single"/>
    </w:rPr>
  </w:style>
  <w:style w:type="paragraph" w:styleId="Textodeglobo">
    <w:name w:val="Balloon Text"/>
    <w:basedOn w:val="Normal"/>
    <w:link w:val="TextodegloboCar"/>
    <w:uiPriority w:val="99"/>
    <w:semiHidden/>
    <w:unhideWhenUsed/>
    <w:rsid w:val="00E41E66"/>
    <w:pPr>
      <w:spacing w:line="240" w:lineRule="auto"/>
    </w:pPr>
    <w:rPr>
      <w:rFonts w:ascii="Tahoma" w:hAnsi="Tahoma" w:cs="Tahoma"/>
      <w:sz w:val="16"/>
      <w:szCs w:val="16"/>
    </w:rPr>
  </w:style>
  <w:style w:type="character" w:customStyle="1" w:styleId="TextodegloboCar">
    <w:name w:val="Texto de globo Car"/>
    <w:link w:val="Textodeglobo"/>
    <w:uiPriority w:val="99"/>
    <w:semiHidden/>
    <w:rsid w:val="00E41E66"/>
    <w:rPr>
      <w:rFonts w:ascii="Tahoma" w:hAnsi="Tahoma" w:cs="Tahoma"/>
      <w:sz w:val="16"/>
      <w:szCs w:val="16"/>
    </w:rPr>
  </w:style>
  <w:style w:type="paragraph" w:customStyle="1" w:styleId="TableGrid1">
    <w:name w:val="Table Grid1"/>
    <w:rsid w:val="00077A7E"/>
    <w:rPr>
      <w:rFonts w:ascii="Cambria" w:eastAsia="ヒラギノ角ゴ Pro W3" w:hAnsi="Cambria"/>
      <w:color w:val="000000"/>
      <w:sz w:val="24"/>
      <w:lang w:val="en-US" w:eastAsia="en-US"/>
    </w:rPr>
  </w:style>
  <w:style w:type="paragraph" w:customStyle="1" w:styleId="Tabelle">
    <w:name w:val="Tabelle"/>
    <w:basedOn w:val="Normal"/>
    <w:link w:val="TabelleChar"/>
    <w:qFormat/>
    <w:rsid w:val="00356C74"/>
    <w:pPr>
      <w:spacing w:line="240" w:lineRule="auto"/>
      <w:ind w:firstLine="34"/>
      <w:jc w:val="left"/>
    </w:pPr>
    <w:rPr>
      <w:rFonts w:ascii="Helvetica" w:hAnsi="Helvetica" w:cs="Helvetica"/>
      <w:sz w:val="18"/>
      <w:szCs w:val="18"/>
      <w:lang w:val="en-US"/>
    </w:rPr>
  </w:style>
  <w:style w:type="paragraph" w:customStyle="1" w:styleId="References0">
    <w:name w:val="References"/>
    <w:basedOn w:val="REFERENCES"/>
    <w:link w:val="ReferencesChar0"/>
    <w:qFormat/>
    <w:rsid w:val="006D66A5"/>
    <w:pPr>
      <w:spacing w:after="0"/>
    </w:pPr>
    <w:rPr>
      <w:rFonts w:cs="Arial"/>
      <w:sz w:val="19"/>
      <w:szCs w:val="21"/>
      <w:lang w:val="en-US"/>
    </w:rPr>
  </w:style>
  <w:style w:type="character" w:customStyle="1" w:styleId="TabelleChar">
    <w:name w:val="Tabelle Char"/>
    <w:link w:val="Tabelle"/>
    <w:rsid w:val="00356C74"/>
    <w:rPr>
      <w:rFonts w:ascii="Helvetica" w:hAnsi="Helvetica" w:cs="Helvetica"/>
      <w:sz w:val="18"/>
      <w:szCs w:val="18"/>
      <w:lang w:val="en-US"/>
    </w:rPr>
  </w:style>
  <w:style w:type="paragraph" w:customStyle="1" w:styleId="Paragrafoprincipale">
    <w:name w:val="Paragrafo principale"/>
    <w:basedOn w:val="TITLE1"/>
    <w:link w:val="ParagrafoprincipaleChar"/>
    <w:qFormat/>
    <w:rsid w:val="00011612"/>
    <w:pPr>
      <w:numPr>
        <w:numId w:val="11"/>
      </w:numPr>
      <w:tabs>
        <w:tab w:val="clear" w:pos="9498"/>
        <w:tab w:val="left" w:pos="0"/>
      </w:tabs>
      <w:spacing w:before="600"/>
      <w:ind w:left="357" w:hanging="357"/>
    </w:pPr>
    <w:rPr>
      <w:rFonts w:cs="Arial"/>
      <w:sz w:val="22"/>
      <w:szCs w:val="23"/>
      <w:lang w:val="en-US"/>
    </w:rPr>
  </w:style>
  <w:style w:type="character" w:customStyle="1" w:styleId="REFERENCESChar">
    <w:name w:val="REFERENCES Char"/>
    <w:link w:val="REFERENCES"/>
    <w:rsid w:val="00A660DF"/>
    <w:rPr>
      <w:rFonts w:ascii="Arial" w:hAnsi="Arial"/>
      <w:sz w:val="21"/>
      <w:lang w:val="da-DK"/>
    </w:rPr>
  </w:style>
  <w:style w:type="character" w:customStyle="1" w:styleId="ReferencesChar0">
    <w:name w:val="References Char"/>
    <w:link w:val="References0"/>
    <w:rsid w:val="006D66A5"/>
    <w:rPr>
      <w:rFonts w:ascii="Arial" w:hAnsi="Arial" w:cs="Arial"/>
      <w:sz w:val="19"/>
      <w:szCs w:val="21"/>
      <w:lang w:val="en-US"/>
    </w:rPr>
  </w:style>
  <w:style w:type="paragraph" w:customStyle="1" w:styleId="Paragrafononnumerato">
    <w:name w:val="Paragrafo non numerato"/>
    <w:basedOn w:val="TITLE2"/>
    <w:link w:val="ParagrafononnumeratoChar"/>
    <w:qFormat/>
    <w:rsid w:val="00011612"/>
    <w:rPr>
      <w:rFonts w:cs="Arial"/>
      <w:sz w:val="22"/>
      <w:szCs w:val="23"/>
      <w:lang w:val="en-US"/>
    </w:rPr>
  </w:style>
  <w:style w:type="character" w:customStyle="1" w:styleId="SUMMARYChar">
    <w:name w:val="SUMMARY Char"/>
    <w:link w:val="SUMMARY"/>
    <w:rsid w:val="00C108B2"/>
    <w:rPr>
      <w:rFonts w:ascii="Arial" w:hAnsi="Arial"/>
      <w:color w:val="000000"/>
      <w:sz w:val="21"/>
      <w:lang w:val="en-GB"/>
    </w:rPr>
  </w:style>
  <w:style w:type="character" w:customStyle="1" w:styleId="TITLE1Char">
    <w:name w:val="TITLE 1 Char"/>
    <w:link w:val="TITLE1"/>
    <w:rsid w:val="00C108B2"/>
    <w:rPr>
      <w:rFonts w:ascii="Arial" w:hAnsi="Arial"/>
      <w:b/>
      <w:color w:val="000000"/>
      <w:sz w:val="21"/>
      <w:szCs w:val="24"/>
      <w:lang w:val="en-GB"/>
    </w:rPr>
  </w:style>
  <w:style w:type="character" w:customStyle="1" w:styleId="ParagrafoprincipaleChar">
    <w:name w:val="Paragrafo principale Char"/>
    <w:link w:val="Paragrafoprincipale"/>
    <w:rsid w:val="00011612"/>
    <w:rPr>
      <w:rFonts w:ascii="Arial" w:hAnsi="Arial" w:cs="Arial"/>
      <w:b/>
      <w:color w:val="000000"/>
      <w:sz w:val="22"/>
      <w:szCs w:val="23"/>
      <w:lang w:val="en-US"/>
    </w:rPr>
  </w:style>
  <w:style w:type="paragraph" w:customStyle="1" w:styleId="Paragrafosecondario">
    <w:name w:val="Paragrafo secondario"/>
    <w:basedOn w:val="Title12"/>
    <w:link w:val="ParagrafosecondarioChar"/>
    <w:qFormat/>
    <w:rsid w:val="00011612"/>
    <w:rPr>
      <w:rFonts w:cs="Arial"/>
      <w:sz w:val="22"/>
      <w:szCs w:val="23"/>
      <w:lang w:val="en-US"/>
    </w:rPr>
  </w:style>
  <w:style w:type="character" w:customStyle="1" w:styleId="TITLE2Char">
    <w:name w:val="TITLE 2 Char"/>
    <w:link w:val="TITLE2"/>
    <w:rsid w:val="00C9181F"/>
    <w:rPr>
      <w:rFonts w:ascii="Arial" w:hAnsi="Arial"/>
      <w:b/>
      <w:color w:val="000000"/>
      <w:sz w:val="21"/>
      <w:szCs w:val="24"/>
      <w:lang w:val="en-GB"/>
    </w:rPr>
  </w:style>
  <w:style w:type="character" w:customStyle="1" w:styleId="ParagrafononnumeratoChar">
    <w:name w:val="Paragrafo non numerato Char"/>
    <w:link w:val="Paragrafononnumerato"/>
    <w:rsid w:val="00011612"/>
    <w:rPr>
      <w:rFonts w:ascii="Arial" w:hAnsi="Arial" w:cs="Arial"/>
      <w:b/>
      <w:color w:val="000000"/>
      <w:sz w:val="22"/>
      <w:szCs w:val="23"/>
      <w:lang w:val="en-US"/>
    </w:rPr>
  </w:style>
  <w:style w:type="paragraph" w:customStyle="1" w:styleId="Abstract">
    <w:name w:val="Abstract"/>
    <w:basedOn w:val="SUMMARY"/>
    <w:link w:val="AbstractChar"/>
    <w:qFormat/>
    <w:rsid w:val="00C9181F"/>
    <w:pPr>
      <w:spacing w:before="600"/>
    </w:pPr>
    <w:rPr>
      <w:rFonts w:cs="Arial"/>
      <w:szCs w:val="21"/>
      <w:lang w:val="en-US"/>
    </w:rPr>
  </w:style>
  <w:style w:type="character" w:customStyle="1" w:styleId="TEXTChar">
    <w:name w:val="TEXT Char"/>
    <w:link w:val="TEXT"/>
    <w:rsid w:val="00C9181F"/>
    <w:rPr>
      <w:rFonts w:ascii="Arial" w:hAnsi="Arial"/>
      <w:sz w:val="21"/>
      <w:szCs w:val="24"/>
    </w:rPr>
  </w:style>
  <w:style w:type="character" w:customStyle="1" w:styleId="Title11Char">
    <w:name w:val="Title 1.1 Char"/>
    <w:link w:val="Title11"/>
    <w:rsid w:val="00C9181F"/>
    <w:rPr>
      <w:rFonts w:ascii="Arial" w:hAnsi="Arial"/>
      <w:b/>
      <w:color w:val="000000"/>
      <w:sz w:val="21"/>
      <w:szCs w:val="24"/>
      <w:lang w:val="en-GB"/>
    </w:rPr>
  </w:style>
  <w:style w:type="character" w:customStyle="1" w:styleId="ParagrafosecondarioChar">
    <w:name w:val="Paragrafo secondario Char"/>
    <w:link w:val="Paragrafosecondario"/>
    <w:rsid w:val="00011612"/>
    <w:rPr>
      <w:rFonts w:ascii="Arial" w:hAnsi="Arial" w:cs="Arial"/>
      <w:b/>
      <w:color w:val="000000"/>
      <w:sz w:val="22"/>
      <w:szCs w:val="23"/>
      <w:lang w:val="en-US"/>
    </w:rPr>
  </w:style>
  <w:style w:type="paragraph" w:customStyle="1" w:styleId="Sottosottoparagrafo">
    <w:name w:val="Sottosotto paragrafo"/>
    <w:basedOn w:val="Tilte111"/>
    <w:link w:val="SottosottoparagrafoChar"/>
    <w:qFormat/>
    <w:rsid w:val="00F02A1F"/>
    <w:rPr>
      <w:rFonts w:cs="Arial"/>
      <w:szCs w:val="21"/>
      <w:lang w:val="en-GB"/>
    </w:rPr>
  </w:style>
  <w:style w:type="character" w:customStyle="1" w:styleId="AbstractChar">
    <w:name w:val="Abstract Char"/>
    <w:link w:val="Abstract"/>
    <w:rsid w:val="00C9181F"/>
    <w:rPr>
      <w:rFonts w:ascii="Arial" w:hAnsi="Arial" w:cs="Arial"/>
      <w:color w:val="000000"/>
      <w:sz w:val="21"/>
      <w:szCs w:val="21"/>
      <w:lang w:val="en-US"/>
    </w:rPr>
  </w:style>
  <w:style w:type="character" w:customStyle="1" w:styleId="Tilte111Char">
    <w:name w:val="Tilte 1.1.1 Char"/>
    <w:link w:val="Tilte111"/>
    <w:rsid w:val="00F02A1F"/>
    <w:rPr>
      <w:rFonts w:ascii="Arial" w:hAnsi="Arial"/>
      <w:i/>
      <w:sz w:val="21"/>
      <w:szCs w:val="24"/>
    </w:rPr>
  </w:style>
  <w:style w:type="character" w:customStyle="1" w:styleId="SottosottoparagrafoChar">
    <w:name w:val="Sottosotto paragrafo Char"/>
    <w:link w:val="Sottosottoparagrafo"/>
    <w:rsid w:val="00F02A1F"/>
    <w:rPr>
      <w:rFonts w:ascii="Arial" w:hAnsi="Arial" w:cs="Arial"/>
      <w:i/>
      <w:sz w:val="21"/>
      <w:szCs w:val="21"/>
      <w:lang w:val="en-GB"/>
    </w:rPr>
  </w:style>
  <w:style w:type="paragraph" w:styleId="Prrafodelista">
    <w:name w:val="List Paragraph"/>
    <w:basedOn w:val="Normal"/>
    <w:uiPriority w:val="72"/>
    <w:rsid w:val="00AC31F4"/>
    <w:pPr>
      <w:ind w:left="720"/>
      <w:contextualSpacing/>
    </w:pPr>
    <w:rPr>
      <w:rFonts w:eastAsia="Arial" w:cs="Arial"/>
      <w:szCs w:val="21"/>
      <w:lang w:val="en-US" w:eastAsia="es-ES"/>
    </w:rPr>
  </w:style>
  <w:style w:type="character" w:styleId="Refdecomentario">
    <w:name w:val="annotation reference"/>
    <w:basedOn w:val="Fuentedeprrafopredeter"/>
    <w:uiPriority w:val="99"/>
    <w:semiHidden/>
    <w:unhideWhenUsed/>
    <w:rsid w:val="007C163B"/>
    <w:rPr>
      <w:sz w:val="16"/>
      <w:szCs w:val="16"/>
    </w:rPr>
  </w:style>
  <w:style w:type="paragraph" w:styleId="Textocomentario">
    <w:name w:val="annotation text"/>
    <w:basedOn w:val="Normal"/>
    <w:link w:val="TextocomentarioCar"/>
    <w:uiPriority w:val="99"/>
    <w:semiHidden/>
    <w:unhideWhenUsed/>
    <w:rsid w:val="007C163B"/>
    <w:pPr>
      <w:spacing w:line="240" w:lineRule="auto"/>
    </w:pPr>
    <w:rPr>
      <w:rFonts w:eastAsia="Arial" w:cs="Arial"/>
      <w:sz w:val="20"/>
      <w:lang w:val="en-US" w:eastAsia="es-ES"/>
    </w:rPr>
  </w:style>
  <w:style w:type="character" w:customStyle="1" w:styleId="TextocomentarioCar">
    <w:name w:val="Texto comentario Car"/>
    <w:basedOn w:val="Fuentedeprrafopredeter"/>
    <w:link w:val="Textocomentario"/>
    <w:uiPriority w:val="99"/>
    <w:semiHidden/>
    <w:rsid w:val="007C163B"/>
    <w:rPr>
      <w:rFonts w:ascii="Arial" w:eastAsia="Arial" w:hAnsi="Arial" w:cs="Arial"/>
      <w:lang w:val="en-US" w:eastAsia="es-ES"/>
    </w:rPr>
  </w:style>
  <w:style w:type="paragraph" w:styleId="Asuntodelcomentario">
    <w:name w:val="annotation subject"/>
    <w:basedOn w:val="Textocomentario"/>
    <w:next w:val="Textocomentario"/>
    <w:link w:val="AsuntodelcomentarioCar"/>
    <w:uiPriority w:val="99"/>
    <w:semiHidden/>
    <w:unhideWhenUsed/>
    <w:rsid w:val="00AC083B"/>
    <w:rPr>
      <w:rFonts w:eastAsia="Times New Roman" w:cs="Times New Roman"/>
      <w:b/>
      <w:bCs/>
      <w:lang w:val="it-IT" w:eastAsia="it-IT"/>
    </w:rPr>
  </w:style>
  <w:style w:type="character" w:customStyle="1" w:styleId="AsuntodelcomentarioCar">
    <w:name w:val="Asunto del comentario Car"/>
    <w:basedOn w:val="TextocomentarioCar"/>
    <w:link w:val="Asuntodelcomentario"/>
    <w:uiPriority w:val="99"/>
    <w:semiHidden/>
    <w:rsid w:val="00AC083B"/>
    <w:rPr>
      <w:rFonts w:ascii="Arial" w:eastAsia="Arial" w:hAnsi="Arial" w:cs="Arial"/>
      <w:b/>
      <w:bCs/>
      <w:lang w:val="en-U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4.xml"/><Relationship Id="rId18" Type="http://schemas.openxmlformats.org/officeDocument/2006/relationships/chart" Target="charts/chart9.xml"/><Relationship Id="rId26" Type="http://schemas.microsoft.com/office/2011/relationships/commentsExtended" Target="commentsExtended.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chart" Target="charts/chart3.xml"/><Relationship Id="rId17" Type="http://schemas.openxmlformats.org/officeDocument/2006/relationships/chart" Target="charts/chart8.xml"/><Relationship Id="rId25" Type="http://schemas.microsoft.com/office/2016/09/relationships/commentsIds" Target="commentsIds.xml"/><Relationship Id="rId2" Type="http://schemas.openxmlformats.org/officeDocument/2006/relationships/numbering" Target="numbering.xml"/><Relationship Id="rId16" Type="http://schemas.openxmlformats.org/officeDocument/2006/relationships/chart" Target="charts/chart7.xm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2.xml"/><Relationship Id="rId5" Type="http://schemas.openxmlformats.org/officeDocument/2006/relationships/settings" Target="settings.xml"/><Relationship Id="rId15" Type="http://schemas.openxmlformats.org/officeDocument/2006/relationships/chart" Target="charts/chart6.xml"/><Relationship Id="rId23" Type="http://schemas.openxmlformats.org/officeDocument/2006/relationships/theme" Target="theme/theme1.xml"/><Relationship Id="rId10" Type="http://schemas.openxmlformats.org/officeDocument/2006/relationships/chart" Target="charts/chart1.xml"/><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hart" Target="charts/chart5.xml"/><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D:\SARDINIA%202005\istruzioni%20autori\Paper_model.dot"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877728211730189"/>
          <c:y val="6.8274623566790996E-2"/>
          <c:w val="0.72584892667884193"/>
          <c:h val="0.73014693676110998"/>
        </c:manualLayout>
      </c:layout>
      <c:scatterChart>
        <c:scatterStyle val="lineMarker"/>
        <c:varyColors val="0"/>
        <c:ser>
          <c:idx val="0"/>
          <c:order val="0"/>
          <c:spPr>
            <a:ln w="28575">
              <a:noFill/>
            </a:ln>
          </c:spPr>
          <c:marker>
            <c:symbol val="circle"/>
            <c:size val="3"/>
            <c:spPr>
              <a:solidFill>
                <a:schemeClr val="bg1"/>
              </a:solidFill>
              <a:ln w="6350">
                <a:solidFill>
                  <a:schemeClr val="tx1"/>
                </a:solidFill>
              </a:ln>
            </c:spPr>
          </c:marker>
          <c:xVal>
            <c:numRef>
              <c:f>'Purin 750 Nitrog. (Isotherm)'!$A$2:$A$41</c:f>
              <c:numCache>
                <c:formatCode>0.00E+00</c:formatCode>
                <c:ptCount val="40"/>
                <c:pt idx="0">
                  <c:v>2.5005099999999999E-2</c:v>
                </c:pt>
                <c:pt idx="1">
                  <c:v>5.0547099999999998E-2</c:v>
                </c:pt>
                <c:pt idx="2">
                  <c:v>7.4041800000000005E-2</c:v>
                </c:pt>
                <c:pt idx="3">
                  <c:v>9.9558099999999997E-2</c:v>
                </c:pt>
                <c:pt idx="4">
                  <c:v>0.12421500000000001</c:v>
                </c:pt>
                <c:pt idx="5">
                  <c:v>0.149316</c:v>
                </c:pt>
                <c:pt idx="6">
                  <c:v>0.17439499999999999</c:v>
                </c:pt>
                <c:pt idx="7">
                  <c:v>0.19947200000000001</c:v>
                </c:pt>
                <c:pt idx="8">
                  <c:v>0.22457199999999999</c:v>
                </c:pt>
                <c:pt idx="9">
                  <c:v>0.24961900000000001</c:v>
                </c:pt>
                <c:pt idx="10">
                  <c:v>0.274677</c:v>
                </c:pt>
                <c:pt idx="11">
                  <c:v>0.29965900000000001</c:v>
                </c:pt>
                <c:pt idx="12">
                  <c:v>0.32464100000000001</c:v>
                </c:pt>
                <c:pt idx="13">
                  <c:v>0.349692</c:v>
                </c:pt>
                <c:pt idx="14">
                  <c:v>0.37466899999999997</c:v>
                </c:pt>
                <c:pt idx="15">
                  <c:v>0.39973500000000001</c:v>
                </c:pt>
                <c:pt idx="16">
                  <c:v>0.424709</c:v>
                </c:pt>
                <c:pt idx="17">
                  <c:v>0.449712</c:v>
                </c:pt>
                <c:pt idx="18">
                  <c:v>0.474769</c:v>
                </c:pt>
                <c:pt idx="19">
                  <c:v>0.49974800000000003</c:v>
                </c:pt>
                <c:pt idx="20">
                  <c:v>0.52463499999999996</c:v>
                </c:pt>
                <c:pt idx="21">
                  <c:v>0.54969199999999996</c:v>
                </c:pt>
                <c:pt idx="22">
                  <c:v>0.57468300000000005</c:v>
                </c:pt>
                <c:pt idx="23">
                  <c:v>0.59957499999999997</c:v>
                </c:pt>
                <c:pt idx="24">
                  <c:v>0.62473299999999998</c:v>
                </c:pt>
                <c:pt idx="25">
                  <c:v>0.64952900000000002</c:v>
                </c:pt>
                <c:pt idx="26">
                  <c:v>0.67445900000000003</c:v>
                </c:pt>
                <c:pt idx="27">
                  <c:v>0.69940199999999997</c:v>
                </c:pt>
                <c:pt idx="28">
                  <c:v>0.72426299999999999</c:v>
                </c:pt>
                <c:pt idx="29">
                  <c:v>0.749089</c:v>
                </c:pt>
                <c:pt idx="30">
                  <c:v>0.77583199999999997</c:v>
                </c:pt>
                <c:pt idx="31">
                  <c:v>0.80090899999999998</c:v>
                </c:pt>
                <c:pt idx="32">
                  <c:v>0.82537099999999997</c:v>
                </c:pt>
                <c:pt idx="33">
                  <c:v>0.85014000000000001</c:v>
                </c:pt>
                <c:pt idx="34">
                  <c:v>0.87446400000000002</c:v>
                </c:pt>
                <c:pt idx="35">
                  <c:v>0.90038399999999996</c:v>
                </c:pt>
                <c:pt idx="36">
                  <c:v>0.92484699999999997</c:v>
                </c:pt>
                <c:pt idx="37">
                  <c:v>0.94935999999999998</c:v>
                </c:pt>
                <c:pt idx="38">
                  <c:v>0.97507699999999997</c:v>
                </c:pt>
                <c:pt idx="39">
                  <c:v>0.99421599999999999</c:v>
                </c:pt>
              </c:numCache>
            </c:numRef>
          </c:xVal>
          <c:yVal>
            <c:numRef>
              <c:f>'Purin 750 Nitrog. (Isotherm)'!$B$2:$B$41</c:f>
              <c:numCache>
                <c:formatCode>General</c:formatCode>
                <c:ptCount val="40"/>
                <c:pt idx="0">
                  <c:v>32.430999999999997</c:v>
                </c:pt>
                <c:pt idx="1">
                  <c:v>33.692300000000003</c:v>
                </c:pt>
                <c:pt idx="2">
                  <c:v>34.538400000000003</c:v>
                </c:pt>
                <c:pt idx="3">
                  <c:v>35.319400000000002</c:v>
                </c:pt>
                <c:pt idx="4">
                  <c:v>36.026299999999999</c:v>
                </c:pt>
                <c:pt idx="5">
                  <c:v>36.676900000000003</c:v>
                </c:pt>
                <c:pt idx="6">
                  <c:v>37.289200000000001</c:v>
                </c:pt>
                <c:pt idx="7">
                  <c:v>37.862299999999998</c:v>
                </c:pt>
                <c:pt idx="8">
                  <c:v>38.4099</c:v>
                </c:pt>
                <c:pt idx="9">
                  <c:v>38.943899999999999</c:v>
                </c:pt>
                <c:pt idx="10">
                  <c:v>39.4621</c:v>
                </c:pt>
                <c:pt idx="11">
                  <c:v>39.97</c:v>
                </c:pt>
                <c:pt idx="12">
                  <c:v>40.476300000000002</c:v>
                </c:pt>
                <c:pt idx="13">
                  <c:v>40.956000000000003</c:v>
                </c:pt>
                <c:pt idx="14">
                  <c:v>41.424300000000002</c:v>
                </c:pt>
                <c:pt idx="15">
                  <c:v>41.881399999999999</c:v>
                </c:pt>
                <c:pt idx="16">
                  <c:v>42.342500000000001</c:v>
                </c:pt>
                <c:pt idx="17">
                  <c:v>42.791800000000002</c:v>
                </c:pt>
                <c:pt idx="18">
                  <c:v>43.235100000000003</c:v>
                </c:pt>
                <c:pt idx="19">
                  <c:v>43.674199999999999</c:v>
                </c:pt>
                <c:pt idx="20">
                  <c:v>44.098199999999999</c:v>
                </c:pt>
                <c:pt idx="21">
                  <c:v>44.547899999999998</c:v>
                </c:pt>
                <c:pt idx="22">
                  <c:v>44.9846</c:v>
                </c:pt>
                <c:pt idx="23">
                  <c:v>45.424199999999999</c:v>
                </c:pt>
                <c:pt idx="24">
                  <c:v>45.865200000000002</c:v>
                </c:pt>
                <c:pt idx="25">
                  <c:v>46.335000000000001</c:v>
                </c:pt>
                <c:pt idx="26">
                  <c:v>46.822299999999998</c:v>
                </c:pt>
                <c:pt idx="27">
                  <c:v>47.327599999999997</c:v>
                </c:pt>
                <c:pt idx="28">
                  <c:v>47.891599999999997</c:v>
                </c:pt>
                <c:pt idx="29">
                  <c:v>48.482999999999997</c:v>
                </c:pt>
                <c:pt idx="30">
                  <c:v>49.235100000000003</c:v>
                </c:pt>
                <c:pt idx="31">
                  <c:v>50.073</c:v>
                </c:pt>
                <c:pt idx="32">
                  <c:v>50.973599999999998</c:v>
                </c:pt>
                <c:pt idx="33">
                  <c:v>52.084699999999998</c:v>
                </c:pt>
                <c:pt idx="34">
                  <c:v>53.391300000000001</c:v>
                </c:pt>
                <c:pt idx="35">
                  <c:v>55.154699999999998</c:v>
                </c:pt>
                <c:pt idx="36">
                  <c:v>57.277099999999997</c:v>
                </c:pt>
                <c:pt idx="37">
                  <c:v>60.438699999999997</c:v>
                </c:pt>
                <c:pt idx="38">
                  <c:v>67.360799999999998</c:v>
                </c:pt>
                <c:pt idx="39">
                  <c:v>84.113200000000006</c:v>
                </c:pt>
              </c:numCache>
            </c:numRef>
          </c:yVal>
          <c:smooth val="0"/>
          <c:extLst xmlns:c16r2="http://schemas.microsoft.com/office/drawing/2015/06/chart">
            <c:ext xmlns:c16="http://schemas.microsoft.com/office/drawing/2014/chart" uri="{C3380CC4-5D6E-409C-BE32-E72D297353CC}">
              <c16:uniqueId val="{00000000-9330-4A89-B300-A8848D51AD2B}"/>
            </c:ext>
          </c:extLst>
        </c:ser>
        <c:ser>
          <c:idx val="1"/>
          <c:order val="1"/>
          <c:spPr>
            <a:ln w="28575">
              <a:noFill/>
            </a:ln>
          </c:spPr>
          <c:marker>
            <c:symbol val="circle"/>
            <c:size val="3"/>
            <c:spPr>
              <a:solidFill>
                <a:schemeClr val="bg1">
                  <a:lumMod val="75000"/>
                </a:schemeClr>
              </a:solidFill>
              <a:ln>
                <a:solidFill>
                  <a:schemeClr val="bg1">
                    <a:lumMod val="65000"/>
                  </a:schemeClr>
                </a:solidFill>
              </a:ln>
            </c:spPr>
          </c:marker>
          <c:xVal>
            <c:numRef>
              <c:f>'Purin 750 Nitrog. (Isotherm)'!$A$42:$A$81</c:f>
              <c:numCache>
                <c:formatCode>0.00E+00</c:formatCode>
                <c:ptCount val="40"/>
                <c:pt idx="0">
                  <c:v>0.99331499999999995</c:v>
                </c:pt>
                <c:pt idx="1">
                  <c:v>0.97508399999999995</c:v>
                </c:pt>
                <c:pt idx="2">
                  <c:v>0.94843299999999997</c:v>
                </c:pt>
                <c:pt idx="3">
                  <c:v>0.92424799999999996</c:v>
                </c:pt>
                <c:pt idx="4">
                  <c:v>0.89918600000000004</c:v>
                </c:pt>
                <c:pt idx="5">
                  <c:v>0.87521099999999996</c:v>
                </c:pt>
                <c:pt idx="6">
                  <c:v>0.84992599999999996</c:v>
                </c:pt>
                <c:pt idx="7">
                  <c:v>0.82417700000000005</c:v>
                </c:pt>
                <c:pt idx="8">
                  <c:v>0.79899500000000001</c:v>
                </c:pt>
                <c:pt idx="9">
                  <c:v>0.77620199999999995</c:v>
                </c:pt>
                <c:pt idx="10">
                  <c:v>0.75096399999999996</c:v>
                </c:pt>
                <c:pt idx="11">
                  <c:v>0.72562899999999997</c:v>
                </c:pt>
                <c:pt idx="12">
                  <c:v>0.70043800000000001</c:v>
                </c:pt>
                <c:pt idx="13">
                  <c:v>0.67527599999999999</c:v>
                </c:pt>
                <c:pt idx="14">
                  <c:v>0.65025900000000003</c:v>
                </c:pt>
                <c:pt idx="15">
                  <c:v>0.62502899999999995</c:v>
                </c:pt>
                <c:pt idx="16">
                  <c:v>0.59973900000000002</c:v>
                </c:pt>
                <c:pt idx="17">
                  <c:v>0.57490799999999997</c:v>
                </c:pt>
                <c:pt idx="18">
                  <c:v>0.54983199999999999</c:v>
                </c:pt>
                <c:pt idx="19">
                  <c:v>0.52480499999999997</c:v>
                </c:pt>
                <c:pt idx="20">
                  <c:v>0.50031300000000001</c:v>
                </c:pt>
                <c:pt idx="21">
                  <c:v>0.47593600000000003</c:v>
                </c:pt>
                <c:pt idx="22">
                  <c:v>0.45087300000000002</c:v>
                </c:pt>
                <c:pt idx="23">
                  <c:v>0.42588599999999999</c:v>
                </c:pt>
                <c:pt idx="24">
                  <c:v>0.40037699999999998</c:v>
                </c:pt>
                <c:pt idx="25">
                  <c:v>0.37512299999999998</c:v>
                </c:pt>
                <c:pt idx="26">
                  <c:v>0.35002499999999998</c:v>
                </c:pt>
                <c:pt idx="27">
                  <c:v>0.32495299999999999</c:v>
                </c:pt>
                <c:pt idx="28">
                  <c:v>0.29988100000000001</c:v>
                </c:pt>
                <c:pt idx="29">
                  <c:v>0.27489000000000002</c:v>
                </c:pt>
                <c:pt idx="30">
                  <c:v>0.24985499999999999</c:v>
                </c:pt>
                <c:pt idx="31">
                  <c:v>0.22489999999999999</c:v>
                </c:pt>
                <c:pt idx="32">
                  <c:v>0.19997100000000001</c:v>
                </c:pt>
                <c:pt idx="33">
                  <c:v>0.17496100000000001</c:v>
                </c:pt>
                <c:pt idx="34">
                  <c:v>0.150093</c:v>
                </c:pt>
                <c:pt idx="35">
                  <c:v>0.124833</c:v>
                </c:pt>
                <c:pt idx="36">
                  <c:v>0.100244</c:v>
                </c:pt>
                <c:pt idx="37">
                  <c:v>7.5431799999999993E-2</c:v>
                </c:pt>
                <c:pt idx="38">
                  <c:v>5.0857600000000003E-2</c:v>
                </c:pt>
                <c:pt idx="39">
                  <c:v>2.3784599999999999E-2</c:v>
                </c:pt>
              </c:numCache>
            </c:numRef>
          </c:xVal>
          <c:yVal>
            <c:numRef>
              <c:f>'Purin 750 Nitrog. (Isotherm)'!$B$42:$B$81</c:f>
              <c:numCache>
                <c:formatCode>General</c:formatCode>
                <c:ptCount val="40"/>
                <c:pt idx="0">
                  <c:v>84.032399999999996</c:v>
                </c:pt>
                <c:pt idx="1">
                  <c:v>73.179299999999998</c:v>
                </c:pt>
                <c:pt idx="2">
                  <c:v>66.289699999999996</c:v>
                </c:pt>
                <c:pt idx="3">
                  <c:v>62.945799999999998</c:v>
                </c:pt>
                <c:pt idx="4">
                  <c:v>60.993400000000001</c:v>
                </c:pt>
                <c:pt idx="5">
                  <c:v>59.621000000000002</c:v>
                </c:pt>
                <c:pt idx="6">
                  <c:v>58.397100000000002</c:v>
                </c:pt>
                <c:pt idx="7">
                  <c:v>57.356099999999998</c:v>
                </c:pt>
                <c:pt idx="8">
                  <c:v>56.419499999999999</c:v>
                </c:pt>
                <c:pt idx="9">
                  <c:v>55.696399999999997</c:v>
                </c:pt>
                <c:pt idx="10">
                  <c:v>55.007599999999996</c:v>
                </c:pt>
                <c:pt idx="11">
                  <c:v>54.432000000000002</c:v>
                </c:pt>
                <c:pt idx="12">
                  <c:v>53.9375</c:v>
                </c:pt>
                <c:pt idx="13">
                  <c:v>53.510100000000001</c:v>
                </c:pt>
                <c:pt idx="14">
                  <c:v>53.134999999999998</c:v>
                </c:pt>
                <c:pt idx="15">
                  <c:v>52.839300000000001</c:v>
                </c:pt>
                <c:pt idx="16">
                  <c:v>52.533200000000001</c:v>
                </c:pt>
                <c:pt idx="17">
                  <c:v>52.2395</c:v>
                </c:pt>
                <c:pt idx="18">
                  <c:v>51.9514</c:v>
                </c:pt>
                <c:pt idx="19">
                  <c:v>51.677999999999997</c:v>
                </c:pt>
                <c:pt idx="20">
                  <c:v>51.207999999999998</c:v>
                </c:pt>
                <c:pt idx="21">
                  <c:v>49.495199999999997</c:v>
                </c:pt>
                <c:pt idx="22">
                  <c:v>47.859400000000001</c:v>
                </c:pt>
                <c:pt idx="23">
                  <c:v>47.149900000000002</c:v>
                </c:pt>
                <c:pt idx="24">
                  <c:v>46.673499999999997</c:v>
                </c:pt>
                <c:pt idx="25">
                  <c:v>46.281100000000002</c:v>
                </c:pt>
                <c:pt idx="26">
                  <c:v>45.9129</c:v>
                </c:pt>
                <c:pt idx="27">
                  <c:v>45.5745</c:v>
                </c:pt>
                <c:pt idx="28">
                  <c:v>45.228400000000001</c:v>
                </c:pt>
                <c:pt idx="29">
                  <c:v>44.891100000000002</c:v>
                </c:pt>
                <c:pt idx="30">
                  <c:v>44.547600000000003</c:v>
                </c:pt>
                <c:pt idx="31">
                  <c:v>44.182899999999997</c:v>
                </c:pt>
                <c:pt idx="32">
                  <c:v>43.808999999999997</c:v>
                </c:pt>
                <c:pt idx="33">
                  <c:v>43.411099999999998</c:v>
                </c:pt>
                <c:pt idx="34">
                  <c:v>43.009300000000003</c:v>
                </c:pt>
                <c:pt idx="35">
                  <c:v>42.541499999999999</c:v>
                </c:pt>
                <c:pt idx="36">
                  <c:v>42.057400000000001</c:v>
                </c:pt>
                <c:pt idx="37">
                  <c:v>41.477699999999999</c:v>
                </c:pt>
                <c:pt idx="38">
                  <c:v>40.750799999999998</c:v>
                </c:pt>
                <c:pt idx="39">
                  <c:v>39.444299999999998</c:v>
                </c:pt>
              </c:numCache>
            </c:numRef>
          </c:yVal>
          <c:smooth val="0"/>
          <c:extLst xmlns:c16r2="http://schemas.microsoft.com/office/drawing/2015/06/chart">
            <c:ext xmlns:c16="http://schemas.microsoft.com/office/drawing/2014/chart" uri="{C3380CC4-5D6E-409C-BE32-E72D297353CC}">
              <c16:uniqueId val="{00000001-9330-4A89-B300-A8848D51AD2B}"/>
            </c:ext>
          </c:extLst>
        </c:ser>
        <c:dLbls>
          <c:showLegendKey val="0"/>
          <c:showVal val="0"/>
          <c:showCatName val="0"/>
          <c:showSerName val="0"/>
          <c:showPercent val="0"/>
          <c:showBubbleSize val="0"/>
        </c:dLbls>
        <c:axId val="470684032"/>
        <c:axId val="470686720"/>
      </c:scatterChart>
      <c:valAx>
        <c:axId val="470684032"/>
        <c:scaling>
          <c:orientation val="minMax"/>
          <c:max val="1"/>
        </c:scaling>
        <c:delete val="0"/>
        <c:axPos val="b"/>
        <c:title>
          <c:tx>
            <c:rich>
              <a:bodyPr/>
              <a:lstStyle/>
              <a:p>
                <a:pPr>
                  <a:defRPr/>
                </a:pPr>
                <a:r>
                  <a:rPr lang="es-ES"/>
                  <a:t>Relative</a:t>
                </a:r>
                <a:r>
                  <a:rPr lang="es-ES" baseline="0"/>
                  <a:t> pressure (P/P</a:t>
                </a:r>
                <a:r>
                  <a:rPr lang="es-ES" baseline="-25000"/>
                  <a:t>o</a:t>
                </a:r>
                <a:r>
                  <a:rPr lang="es-ES" baseline="0"/>
                  <a:t>)</a:t>
                </a:r>
                <a:endParaRPr lang="es-ES"/>
              </a:p>
            </c:rich>
          </c:tx>
          <c:layout>
            <c:manualLayout>
              <c:xMode val="edge"/>
              <c:yMode val="edge"/>
              <c:x val="0.27662245641348066"/>
              <c:y val="0.90106846880360425"/>
            </c:manualLayout>
          </c:layout>
          <c:overlay val="0"/>
        </c:title>
        <c:numFmt formatCode="#,##0.00" sourceLinked="0"/>
        <c:majorTickMark val="out"/>
        <c:minorTickMark val="none"/>
        <c:tickLblPos val="nextTo"/>
        <c:crossAx val="470686720"/>
        <c:crosses val="autoZero"/>
        <c:crossBetween val="midCat"/>
        <c:majorUnit val="0.2"/>
      </c:valAx>
      <c:valAx>
        <c:axId val="470686720"/>
        <c:scaling>
          <c:orientation val="minMax"/>
          <c:max val="70"/>
        </c:scaling>
        <c:delete val="0"/>
        <c:axPos val="l"/>
        <c:majorGridlines>
          <c:spPr>
            <a:ln>
              <a:solidFill>
                <a:schemeClr val="bg1">
                  <a:lumMod val="75000"/>
                </a:schemeClr>
              </a:solidFill>
              <a:prstDash val="sysDot"/>
            </a:ln>
          </c:spPr>
        </c:majorGridlines>
        <c:title>
          <c:tx>
            <c:rich>
              <a:bodyPr/>
              <a:lstStyle/>
              <a:p>
                <a:pPr>
                  <a:defRPr/>
                </a:pPr>
                <a:r>
                  <a:rPr lang="es-ES"/>
                  <a:t>Volume of N</a:t>
                </a:r>
                <a:r>
                  <a:rPr lang="es-ES" baseline="-25000"/>
                  <a:t>2</a:t>
                </a:r>
                <a:r>
                  <a:rPr lang="es-ES"/>
                  <a:t> adsorbed</a:t>
                </a:r>
                <a:r>
                  <a:rPr lang="es-ES" baseline="0"/>
                  <a:t> (cm</a:t>
                </a:r>
                <a:r>
                  <a:rPr lang="es-ES" baseline="30000"/>
                  <a:t>3</a:t>
                </a:r>
                <a:r>
                  <a:rPr lang="es-ES" baseline="-25000"/>
                  <a:t>STP</a:t>
                </a:r>
                <a:r>
                  <a:rPr lang="es-ES" baseline="0"/>
                  <a:t>/g)</a:t>
                </a:r>
                <a:endParaRPr lang="es-ES"/>
              </a:p>
            </c:rich>
          </c:tx>
          <c:layout>
            <c:manualLayout>
              <c:xMode val="edge"/>
              <c:yMode val="edge"/>
              <c:x val="1.7312854904543776E-3"/>
              <c:y val="6.5117903569140476E-2"/>
            </c:manualLayout>
          </c:layout>
          <c:overlay val="0"/>
        </c:title>
        <c:numFmt formatCode="General" sourceLinked="1"/>
        <c:majorTickMark val="out"/>
        <c:minorTickMark val="none"/>
        <c:tickLblPos val="nextTo"/>
        <c:crossAx val="470684032"/>
        <c:crosses val="autoZero"/>
        <c:crossBetween val="midCat"/>
      </c:valAx>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877728211730189"/>
          <c:y val="6.8274623566790996E-2"/>
          <c:w val="0.72584892667884193"/>
          <c:h val="0.73014693676110998"/>
        </c:manualLayout>
      </c:layout>
      <c:scatterChart>
        <c:scatterStyle val="lineMarker"/>
        <c:varyColors val="0"/>
        <c:ser>
          <c:idx val="0"/>
          <c:order val="0"/>
          <c:spPr>
            <a:ln w="28575">
              <a:noFill/>
            </a:ln>
          </c:spPr>
          <c:marker>
            <c:symbol val="circle"/>
            <c:size val="3"/>
            <c:spPr>
              <a:solidFill>
                <a:schemeClr val="bg1"/>
              </a:solidFill>
              <a:ln w="6350">
                <a:solidFill>
                  <a:schemeClr val="tx1"/>
                </a:solidFill>
              </a:ln>
            </c:spPr>
          </c:marker>
          <c:xVal>
            <c:numRef>
              <c:f>'H 750  (TG) (Isotherm)'!$A$2:$A$41</c:f>
              <c:numCache>
                <c:formatCode>0.00E+00</c:formatCode>
                <c:ptCount val="40"/>
                <c:pt idx="0">
                  <c:v>2.55704E-2</c:v>
                </c:pt>
                <c:pt idx="1">
                  <c:v>4.9902099999999998E-2</c:v>
                </c:pt>
                <c:pt idx="2">
                  <c:v>7.5396199999999997E-2</c:v>
                </c:pt>
                <c:pt idx="3">
                  <c:v>0.100967</c:v>
                </c:pt>
                <c:pt idx="4">
                  <c:v>0.12546399999999999</c:v>
                </c:pt>
                <c:pt idx="5">
                  <c:v>0.15051100000000001</c:v>
                </c:pt>
                <c:pt idx="6">
                  <c:v>0.17541200000000001</c:v>
                </c:pt>
                <c:pt idx="7">
                  <c:v>0.20053000000000001</c:v>
                </c:pt>
                <c:pt idx="8">
                  <c:v>0.225581</c:v>
                </c:pt>
                <c:pt idx="9">
                  <c:v>0.25057400000000002</c:v>
                </c:pt>
                <c:pt idx="10">
                  <c:v>0.27547100000000002</c:v>
                </c:pt>
                <c:pt idx="11">
                  <c:v>0.30060799999999999</c:v>
                </c:pt>
                <c:pt idx="12">
                  <c:v>0.32539899999999999</c:v>
                </c:pt>
                <c:pt idx="13">
                  <c:v>0.350466</c:v>
                </c:pt>
                <c:pt idx="14">
                  <c:v>0.37561800000000001</c:v>
                </c:pt>
                <c:pt idx="15">
                  <c:v>0.40053899999999998</c:v>
                </c:pt>
                <c:pt idx="16">
                  <c:v>0.42555799999999999</c:v>
                </c:pt>
                <c:pt idx="17">
                  <c:v>0.45052900000000001</c:v>
                </c:pt>
                <c:pt idx="18">
                  <c:v>0.47505599999999998</c:v>
                </c:pt>
                <c:pt idx="19">
                  <c:v>0.50021700000000002</c:v>
                </c:pt>
                <c:pt idx="20">
                  <c:v>0.52522500000000005</c:v>
                </c:pt>
                <c:pt idx="21">
                  <c:v>0.55047800000000002</c:v>
                </c:pt>
                <c:pt idx="22">
                  <c:v>0.57417099999999999</c:v>
                </c:pt>
                <c:pt idx="23">
                  <c:v>0.60031100000000004</c:v>
                </c:pt>
                <c:pt idx="24">
                  <c:v>0.62453700000000001</c:v>
                </c:pt>
                <c:pt idx="25">
                  <c:v>0.64972099999999999</c:v>
                </c:pt>
                <c:pt idx="26">
                  <c:v>0.67419099999999998</c:v>
                </c:pt>
                <c:pt idx="27">
                  <c:v>0.69918400000000003</c:v>
                </c:pt>
                <c:pt idx="28">
                  <c:v>0.72648999999999997</c:v>
                </c:pt>
                <c:pt idx="29">
                  <c:v>0.74871799999999999</c:v>
                </c:pt>
                <c:pt idx="30">
                  <c:v>0.77581800000000001</c:v>
                </c:pt>
                <c:pt idx="31">
                  <c:v>0.80064900000000006</c:v>
                </c:pt>
                <c:pt idx="32">
                  <c:v>0.82477999999999996</c:v>
                </c:pt>
                <c:pt idx="33">
                  <c:v>0.84909699999999999</c:v>
                </c:pt>
                <c:pt idx="34">
                  <c:v>0.87517900000000004</c:v>
                </c:pt>
                <c:pt idx="35">
                  <c:v>0.89929199999999998</c:v>
                </c:pt>
                <c:pt idx="36">
                  <c:v>0.92470799999999997</c:v>
                </c:pt>
                <c:pt idx="37">
                  <c:v>0.94987200000000005</c:v>
                </c:pt>
                <c:pt idx="38">
                  <c:v>0.97538800000000003</c:v>
                </c:pt>
                <c:pt idx="39">
                  <c:v>0.995259</c:v>
                </c:pt>
              </c:numCache>
            </c:numRef>
          </c:xVal>
          <c:yVal>
            <c:numRef>
              <c:f>'H 750  (TG) (Isotherm)'!$B$2:$B$41</c:f>
              <c:numCache>
                <c:formatCode>General</c:formatCode>
                <c:ptCount val="40"/>
                <c:pt idx="0">
                  <c:v>6.0544000000000002</c:v>
                </c:pt>
                <c:pt idx="1">
                  <c:v>6.5724999999999998</c:v>
                </c:pt>
                <c:pt idx="2">
                  <c:v>6.9752000000000001</c:v>
                </c:pt>
                <c:pt idx="3">
                  <c:v>7.3116000000000003</c:v>
                </c:pt>
                <c:pt idx="4">
                  <c:v>7.6071</c:v>
                </c:pt>
                <c:pt idx="5">
                  <c:v>7.8902000000000001</c:v>
                </c:pt>
                <c:pt idx="6">
                  <c:v>8.1593</c:v>
                </c:pt>
                <c:pt idx="7">
                  <c:v>8.4367000000000001</c:v>
                </c:pt>
                <c:pt idx="8">
                  <c:v>8.6995000000000005</c:v>
                </c:pt>
                <c:pt idx="9">
                  <c:v>8.9656000000000002</c:v>
                </c:pt>
                <c:pt idx="10">
                  <c:v>9.2394999999999996</c:v>
                </c:pt>
                <c:pt idx="11">
                  <c:v>9.5040999999999993</c:v>
                </c:pt>
                <c:pt idx="12">
                  <c:v>9.7777999999999992</c:v>
                </c:pt>
                <c:pt idx="13">
                  <c:v>10.059900000000001</c:v>
                </c:pt>
                <c:pt idx="14">
                  <c:v>10.3401</c:v>
                </c:pt>
                <c:pt idx="15">
                  <c:v>10.653499999999999</c:v>
                </c:pt>
                <c:pt idx="16">
                  <c:v>10.9627</c:v>
                </c:pt>
                <c:pt idx="17">
                  <c:v>11.260400000000001</c:v>
                </c:pt>
                <c:pt idx="18">
                  <c:v>11.606999999999999</c:v>
                </c:pt>
                <c:pt idx="19">
                  <c:v>11.9619</c:v>
                </c:pt>
                <c:pt idx="20">
                  <c:v>12.322100000000001</c:v>
                </c:pt>
                <c:pt idx="21">
                  <c:v>12.7209</c:v>
                </c:pt>
                <c:pt idx="22">
                  <c:v>13.1746</c:v>
                </c:pt>
                <c:pt idx="23">
                  <c:v>13.652799999999999</c:v>
                </c:pt>
                <c:pt idx="24">
                  <c:v>14.122299999999999</c:v>
                </c:pt>
                <c:pt idx="25">
                  <c:v>14.6684</c:v>
                </c:pt>
                <c:pt idx="26">
                  <c:v>15.260999999999999</c:v>
                </c:pt>
                <c:pt idx="27">
                  <c:v>15.901899999999999</c:v>
                </c:pt>
                <c:pt idx="28">
                  <c:v>16.745100000000001</c:v>
                </c:pt>
                <c:pt idx="29">
                  <c:v>17.460100000000001</c:v>
                </c:pt>
                <c:pt idx="30">
                  <c:v>18.45</c:v>
                </c:pt>
                <c:pt idx="31">
                  <c:v>19.590199999999999</c:v>
                </c:pt>
                <c:pt idx="32">
                  <c:v>20.844100000000001</c:v>
                </c:pt>
                <c:pt idx="33">
                  <c:v>22.439499999999999</c:v>
                </c:pt>
                <c:pt idx="34">
                  <c:v>24.456800000000001</c:v>
                </c:pt>
                <c:pt idx="35">
                  <c:v>26.874500000000001</c:v>
                </c:pt>
                <c:pt idx="36">
                  <c:v>30.180399999999999</c:v>
                </c:pt>
                <c:pt idx="37">
                  <c:v>34.921100000000003</c:v>
                </c:pt>
                <c:pt idx="38">
                  <c:v>39.438600000000001</c:v>
                </c:pt>
                <c:pt idx="39">
                  <c:v>45.975700000000003</c:v>
                </c:pt>
              </c:numCache>
            </c:numRef>
          </c:yVal>
          <c:smooth val="0"/>
          <c:extLst xmlns:c16r2="http://schemas.microsoft.com/office/drawing/2015/06/chart">
            <c:ext xmlns:c16="http://schemas.microsoft.com/office/drawing/2014/chart" uri="{C3380CC4-5D6E-409C-BE32-E72D297353CC}">
              <c16:uniqueId val="{00000000-4414-4934-9393-EE1DCFF6F972}"/>
            </c:ext>
          </c:extLst>
        </c:ser>
        <c:ser>
          <c:idx val="1"/>
          <c:order val="1"/>
          <c:spPr>
            <a:ln w="28575">
              <a:noFill/>
            </a:ln>
          </c:spPr>
          <c:marker>
            <c:symbol val="circle"/>
            <c:size val="3"/>
            <c:spPr>
              <a:solidFill>
                <a:schemeClr val="bg1">
                  <a:lumMod val="75000"/>
                </a:schemeClr>
              </a:solidFill>
              <a:ln>
                <a:solidFill>
                  <a:schemeClr val="bg1">
                    <a:lumMod val="65000"/>
                  </a:schemeClr>
                </a:solidFill>
              </a:ln>
            </c:spPr>
          </c:marker>
          <c:xVal>
            <c:numRef>
              <c:f>'H 750  (TG) (Isotherm)'!$A$42:$A$81</c:f>
              <c:numCache>
                <c:formatCode>0.00E+00</c:formatCode>
                <c:ptCount val="40"/>
                <c:pt idx="0">
                  <c:v>0.99415900000000001</c:v>
                </c:pt>
                <c:pt idx="1">
                  <c:v>0.97512799999999999</c:v>
                </c:pt>
                <c:pt idx="2">
                  <c:v>0.94970500000000002</c:v>
                </c:pt>
                <c:pt idx="3">
                  <c:v>0.92427400000000004</c:v>
                </c:pt>
                <c:pt idx="4">
                  <c:v>0.90044999999999997</c:v>
                </c:pt>
                <c:pt idx="5">
                  <c:v>0.87395800000000001</c:v>
                </c:pt>
                <c:pt idx="6">
                  <c:v>0.84971099999999999</c:v>
                </c:pt>
                <c:pt idx="7">
                  <c:v>0.82570699999999997</c:v>
                </c:pt>
                <c:pt idx="8">
                  <c:v>0.80040100000000003</c:v>
                </c:pt>
                <c:pt idx="9">
                  <c:v>0.77405000000000002</c:v>
                </c:pt>
                <c:pt idx="10">
                  <c:v>0.74877000000000005</c:v>
                </c:pt>
                <c:pt idx="11">
                  <c:v>0.72594800000000004</c:v>
                </c:pt>
                <c:pt idx="12">
                  <c:v>0.70048200000000005</c:v>
                </c:pt>
                <c:pt idx="13">
                  <c:v>0.67561099999999996</c:v>
                </c:pt>
                <c:pt idx="14">
                  <c:v>0.65056400000000003</c:v>
                </c:pt>
                <c:pt idx="15">
                  <c:v>0.62523700000000004</c:v>
                </c:pt>
                <c:pt idx="16">
                  <c:v>0.60031999999999996</c:v>
                </c:pt>
                <c:pt idx="17">
                  <c:v>0.57558500000000001</c:v>
                </c:pt>
                <c:pt idx="18">
                  <c:v>0.55022800000000005</c:v>
                </c:pt>
                <c:pt idx="19">
                  <c:v>0.52509399999999995</c:v>
                </c:pt>
                <c:pt idx="20">
                  <c:v>0.50087000000000004</c:v>
                </c:pt>
                <c:pt idx="21">
                  <c:v>0.47487200000000002</c:v>
                </c:pt>
                <c:pt idx="22">
                  <c:v>0.45007999999999998</c:v>
                </c:pt>
                <c:pt idx="23">
                  <c:v>0.425701</c:v>
                </c:pt>
                <c:pt idx="24">
                  <c:v>0.400005</c:v>
                </c:pt>
                <c:pt idx="25">
                  <c:v>0.37473099999999998</c:v>
                </c:pt>
                <c:pt idx="26">
                  <c:v>0.34951599999999999</c:v>
                </c:pt>
                <c:pt idx="27">
                  <c:v>0.32445800000000002</c:v>
                </c:pt>
                <c:pt idx="28">
                  <c:v>0.29933700000000002</c:v>
                </c:pt>
                <c:pt idx="29">
                  <c:v>0.27440500000000001</c:v>
                </c:pt>
                <c:pt idx="30">
                  <c:v>0.249362</c:v>
                </c:pt>
                <c:pt idx="31">
                  <c:v>0.22429499999999999</c:v>
                </c:pt>
                <c:pt idx="32">
                  <c:v>0.199326</c:v>
                </c:pt>
                <c:pt idx="33">
                  <c:v>0.17462800000000001</c:v>
                </c:pt>
                <c:pt idx="34">
                  <c:v>0.149363</c:v>
                </c:pt>
                <c:pt idx="35">
                  <c:v>0.124468</c:v>
                </c:pt>
                <c:pt idx="36">
                  <c:v>9.9529800000000002E-2</c:v>
                </c:pt>
                <c:pt idx="37">
                  <c:v>7.4600799999999995E-2</c:v>
                </c:pt>
                <c:pt idx="38">
                  <c:v>4.9733800000000002E-2</c:v>
                </c:pt>
                <c:pt idx="39">
                  <c:v>2.3508299999999999E-2</c:v>
                </c:pt>
              </c:numCache>
            </c:numRef>
          </c:xVal>
          <c:yVal>
            <c:numRef>
              <c:f>'H 750  (TG) (Isotherm)'!$B$42:$B$81</c:f>
              <c:numCache>
                <c:formatCode>General</c:formatCode>
                <c:ptCount val="40"/>
                <c:pt idx="0">
                  <c:v>45.647300000000001</c:v>
                </c:pt>
                <c:pt idx="1">
                  <c:v>40.348100000000002</c:v>
                </c:pt>
                <c:pt idx="2">
                  <c:v>38.170099999999998</c:v>
                </c:pt>
                <c:pt idx="3">
                  <c:v>36.1325</c:v>
                </c:pt>
                <c:pt idx="4">
                  <c:v>33.588099999999997</c:v>
                </c:pt>
                <c:pt idx="5">
                  <c:v>30.6065</c:v>
                </c:pt>
                <c:pt idx="6">
                  <c:v>28.347999999999999</c:v>
                </c:pt>
                <c:pt idx="7">
                  <c:v>26.696400000000001</c:v>
                </c:pt>
                <c:pt idx="8">
                  <c:v>25.233599999999999</c:v>
                </c:pt>
                <c:pt idx="9">
                  <c:v>24.045999999999999</c:v>
                </c:pt>
                <c:pt idx="10">
                  <c:v>23.1097</c:v>
                </c:pt>
                <c:pt idx="11">
                  <c:v>22.409300000000002</c:v>
                </c:pt>
                <c:pt idx="12">
                  <c:v>21.729299999999999</c:v>
                </c:pt>
                <c:pt idx="13">
                  <c:v>21.098500000000001</c:v>
                </c:pt>
                <c:pt idx="14">
                  <c:v>20.4864</c:v>
                </c:pt>
                <c:pt idx="15">
                  <c:v>19.907399999999999</c:v>
                </c:pt>
                <c:pt idx="16">
                  <c:v>19.357800000000001</c:v>
                </c:pt>
                <c:pt idx="17">
                  <c:v>18.832699999999999</c:v>
                </c:pt>
                <c:pt idx="18">
                  <c:v>18.316400000000002</c:v>
                </c:pt>
                <c:pt idx="19">
                  <c:v>17.7805</c:v>
                </c:pt>
                <c:pt idx="20">
                  <c:v>17.218399999999999</c:v>
                </c:pt>
                <c:pt idx="21">
                  <c:v>14.9674</c:v>
                </c:pt>
                <c:pt idx="22">
                  <c:v>12.591200000000001</c:v>
                </c:pt>
                <c:pt idx="23">
                  <c:v>11.888</c:v>
                </c:pt>
                <c:pt idx="24">
                  <c:v>11.4377</c:v>
                </c:pt>
                <c:pt idx="25">
                  <c:v>11.0853</c:v>
                </c:pt>
                <c:pt idx="26">
                  <c:v>10.783300000000001</c:v>
                </c:pt>
                <c:pt idx="27">
                  <c:v>10.4899</c:v>
                </c:pt>
                <c:pt idx="28">
                  <c:v>10.2217</c:v>
                </c:pt>
                <c:pt idx="29">
                  <c:v>9.9515999999999991</c:v>
                </c:pt>
                <c:pt idx="30">
                  <c:v>9.7056000000000004</c:v>
                </c:pt>
                <c:pt idx="31">
                  <c:v>9.4458000000000002</c:v>
                </c:pt>
                <c:pt idx="32">
                  <c:v>9.1815999999999995</c:v>
                </c:pt>
                <c:pt idx="33">
                  <c:v>8.9175000000000004</c:v>
                </c:pt>
                <c:pt idx="34">
                  <c:v>8.6423000000000005</c:v>
                </c:pt>
                <c:pt idx="35">
                  <c:v>8.3610000000000007</c:v>
                </c:pt>
                <c:pt idx="36">
                  <c:v>8.0698000000000008</c:v>
                </c:pt>
                <c:pt idx="37">
                  <c:v>7.7443999999999997</c:v>
                </c:pt>
                <c:pt idx="38">
                  <c:v>7.3663999999999996</c:v>
                </c:pt>
                <c:pt idx="39">
                  <c:v>6.7990000000000004</c:v>
                </c:pt>
              </c:numCache>
            </c:numRef>
          </c:yVal>
          <c:smooth val="0"/>
          <c:extLst xmlns:c16r2="http://schemas.microsoft.com/office/drawing/2015/06/chart">
            <c:ext xmlns:c16="http://schemas.microsoft.com/office/drawing/2014/chart" uri="{C3380CC4-5D6E-409C-BE32-E72D297353CC}">
              <c16:uniqueId val="{00000001-4414-4934-9393-EE1DCFF6F972}"/>
            </c:ext>
          </c:extLst>
        </c:ser>
        <c:dLbls>
          <c:showLegendKey val="0"/>
          <c:showVal val="0"/>
          <c:showCatName val="0"/>
          <c:showSerName val="0"/>
          <c:showPercent val="0"/>
          <c:showBubbleSize val="0"/>
        </c:dLbls>
        <c:axId val="483285632"/>
        <c:axId val="461468800"/>
      </c:scatterChart>
      <c:valAx>
        <c:axId val="483285632"/>
        <c:scaling>
          <c:orientation val="minMax"/>
          <c:max val="1"/>
        </c:scaling>
        <c:delete val="0"/>
        <c:axPos val="b"/>
        <c:title>
          <c:tx>
            <c:rich>
              <a:bodyPr/>
              <a:lstStyle/>
              <a:p>
                <a:pPr>
                  <a:defRPr/>
                </a:pPr>
                <a:r>
                  <a:rPr lang="es-ES"/>
                  <a:t>Relative</a:t>
                </a:r>
                <a:r>
                  <a:rPr lang="es-ES" baseline="0"/>
                  <a:t> pressure (P/P</a:t>
                </a:r>
                <a:r>
                  <a:rPr lang="es-ES" baseline="-25000"/>
                  <a:t>o</a:t>
                </a:r>
                <a:r>
                  <a:rPr lang="es-ES" baseline="0"/>
                  <a:t>)</a:t>
                </a:r>
                <a:endParaRPr lang="es-ES"/>
              </a:p>
            </c:rich>
          </c:tx>
          <c:layout>
            <c:manualLayout>
              <c:xMode val="edge"/>
              <c:yMode val="edge"/>
              <c:x val="0.27662245641348066"/>
              <c:y val="0.90106846880360425"/>
            </c:manualLayout>
          </c:layout>
          <c:overlay val="0"/>
        </c:title>
        <c:numFmt formatCode="#,##0.00" sourceLinked="0"/>
        <c:majorTickMark val="out"/>
        <c:minorTickMark val="none"/>
        <c:tickLblPos val="nextTo"/>
        <c:crossAx val="461468800"/>
        <c:crosses val="autoZero"/>
        <c:crossBetween val="midCat"/>
        <c:majorUnit val="0.2"/>
      </c:valAx>
      <c:valAx>
        <c:axId val="461468800"/>
        <c:scaling>
          <c:orientation val="minMax"/>
          <c:max val="70"/>
        </c:scaling>
        <c:delete val="0"/>
        <c:axPos val="l"/>
        <c:majorGridlines>
          <c:spPr>
            <a:ln>
              <a:solidFill>
                <a:schemeClr val="bg1">
                  <a:lumMod val="75000"/>
                </a:schemeClr>
              </a:solidFill>
              <a:prstDash val="sysDot"/>
            </a:ln>
          </c:spPr>
        </c:majorGridlines>
        <c:title>
          <c:tx>
            <c:rich>
              <a:bodyPr/>
              <a:lstStyle/>
              <a:p>
                <a:pPr>
                  <a:defRPr/>
                </a:pPr>
                <a:r>
                  <a:rPr lang="es-ES"/>
                  <a:t>Volume of N</a:t>
                </a:r>
                <a:r>
                  <a:rPr lang="es-ES" baseline="-25000"/>
                  <a:t>2</a:t>
                </a:r>
                <a:r>
                  <a:rPr lang="es-ES"/>
                  <a:t> adsorbed</a:t>
                </a:r>
                <a:r>
                  <a:rPr lang="es-ES" baseline="0"/>
                  <a:t> (cm</a:t>
                </a:r>
                <a:r>
                  <a:rPr lang="es-ES" baseline="30000"/>
                  <a:t>3</a:t>
                </a:r>
                <a:r>
                  <a:rPr lang="es-ES" baseline="-25000"/>
                  <a:t>STP</a:t>
                </a:r>
                <a:r>
                  <a:rPr lang="es-ES" baseline="0"/>
                  <a:t>/g)</a:t>
                </a:r>
                <a:endParaRPr lang="es-ES"/>
              </a:p>
            </c:rich>
          </c:tx>
          <c:layout>
            <c:manualLayout>
              <c:xMode val="edge"/>
              <c:yMode val="edge"/>
              <c:x val="1.7312854904543776E-3"/>
              <c:y val="6.5117903569140476E-2"/>
            </c:manualLayout>
          </c:layout>
          <c:overlay val="0"/>
        </c:title>
        <c:numFmt formatCode="General" sourceLinked="1"/>
        <c:majorTickMark val="out"/>
        <c:minorTickMark val="none"/>
        <c:tickLblPos val="nextTo"/>
        <c:crossAx val="483285632"/>
        <c:crosses val="autoZero"/>
        <c:crossBetween val="midCat"/>
      </c:valAx>
    </c:plotArea>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877728211730189"/>
          <c:y val="6.8274623566790996E-2"/>
          <c:w val="0.72584892667884193"/>
          <c:h val="0.73014693676110998"/>
        </c:manualLayout>
      </c:layout>
      <c:scatterChart>
        <c:scatterStyle val="lineMarker"/>
        <c:varyColors val="0"/>
        <c:ser>
          <c:idx val="0"/>
          <c:order val="0"/>
          <c:spPr>
            <a:ln w="28575">
              <a:noFill/>
            </a:ln>
          </c:spPr>
          <c:marker>
            <c:symbol val="circle"/>
            <c:size val="3"/>
            <c:spPr>
              <a:solidFill>
                <a:schemeClr val="bg1"/>
              </a:solidFill>
              <a:ln w="6350">
                <a:solidFill>
                  <a:schemeClr val="tx1"/>
                </a:solidFill>
              </a:ln>
            </c:spPr>
          </c:marker>
          <c:xVal>
            <c:numRef>
              <c:f>Hoja2!$A$2:$A$41</c:f>
              <c:numCache>
                <c:formatCode>0.00E+00</c:formatCode>
                <c:ptCount val="40"/>
                <c:pt idx="0">
                  <c:v>2.5139399999999999E-2</c:v>
                </c:pt>
                <c:pt idx="1">
                  <c:v>5.1321499999999999E-2</c:v>
                </c:pt>
                <c:pt idx="2">
                  <c:v>7.6258099999999995E-2</c:v>
                </c:pt>
                <c:pt idx="3">
                  <c:v>0.10162499999999999</c:v>
                </c:pt>
                <c:pt idx="4">
                  <c:v>0.126142</c:v>
                </c:pt>
                <c:pt idx="5">
                  <c:v>0.15113299999999999</c:v>
                </c:pt>
                <c:pt idx="6">
                  <c:v>0.17608299999999999</c:v>
                </c:pt>
                <c:pt idx="7">
                  <c:v>0.20113200000000001</c:v>
                </c:pt>
                <c:pt idx="8">
                  <c:v>0.22611400000000001</c:v>
                </c:pt>
                <c:pt idx="9">
                  <c:v>0.25112400000000001</c:v>
                </c:pt>
                <c:pt idx="10">
                  <c:v>0.27616099999999999</c:v>
                </c:pt>
                <c:pt idx="11">
                  <c:v>0.30102699999999999</c:v>
                </c:pt>
                <c:pt idx="12">
                  <c:v>0.32604899999999998</c:v>
                </c:pt>
                <c:pt idx="13">
                  <c:v>0.35113899999999998</c:v>
                </c:pt>
                <c:pt idx="14">
                  <c:v>0.37610100000000002</c:v>
                </c:pt>
                <c:pt idx="15">
                  <c:v>0.40112700000000001</c:v>
                </c:pt>
                <c:pt idx="16">
                  <c:v>0.42605700000000002</c:v>
                </c:pt>
                <c:pt idx="17">
                  <c:v>0.45107999999999998</c:v>
                </c:pt>
                <c:pt idx="18">
                  <c:v>0.47601900000000003</c:v>
                </c:pt>
                <c:pt idx="19">
                  <c:v>0.50103200000000003</c:v>
                </c:pt>
                <c:pt idx="20">
                  <c:v>0.52603800000000001</c:v>
                </c:pt>
                <c:pt idx="21">
                  <c:v>0.55097600000000002</c:v>
                </c:pt>
                <c:pt idx="22">
                  <c:v>0.57603499999999996</c:v>
                </c:pt>
                <c:pt idx="23">
                  <c:v>0.60083799999999998</c:v>
                </c:pt>
                <c:pt idx="24">
                  <c:v>0.62607900000000005</c:v>
                </c:pt>
                <c:pt idx="25">
                  <c:v>0.65090499999999996</c:v>
                </c:pt>
                <c:pt idx="26">
                  <c:v>0.67596199999999995</c:v>
                </c:pt>
                <c:pt idx="27">
                  <c:v>0.70091099999999995</c:v>
                </c:pt>
                <c:pt idx="28">
                  <c:v>0.725908</c:v>
                </c:pt>
                <c:pt idx="29">
                  <c:v>0.75081500000000001</c:v>
                </c:pt>
                <c:pt idx="30">
                  <c:v>0.77580400000000005</c:v>
                </c:pt>
                <c:pt idx="31">
                  <c:v>0.80085499999999998</c:v>
                </c:pt>
                <c:pt idx="32">
                  <c:v>0.82568200000000003</c:v>
                </c:pt>
                <c:pt idx="33">
                  <c:v>0.85082400000000002</c:v>
                </c:pt>
                <c:pt idx="34">
                  <c:v>0.87583299999999997</c:v>
                </c:pt>
                <c:pt idx="35">
                  <c:v>0.90076500000000004</c:v>
                </c:pt>
                <c:pt idx="36">
                  <c:v>0.92562800000000001</c:v>
                </c:pt>
                <c:pt idx="37">
                  <c:v>0.95066700000000004</c:v>
                </c:pt>
                <c:pt idx="38">
                  <c:v>0.97545700000000002</c:v>
                </c:pt>
                <c:pt idx="39">
                  <c:v>0.99429800000000002</c:v>
                </c:pt>
              </c:numCache>
            </c:numRef>
          </c:xVal>
          <c:yVal>
            <c:numRef>
              <c:f>Hoja2!$B$2:$B$41</c:f>
              <c:numCache>
                <c:formatCode>General</c:formatCode>
                <c:ptCount val="40"/>
                <c:pt idx="0">
                  <c:v>3.2199999999999999E-2</c:v>
                </c:pt>
                <c:pt idx="1">
                  <c:v>5.9900000000000002E-2</c:v>
                </c:pt>
                <c:pt idx="2">
                  <c:v>8.1600000000000006E-2</c:v>
                </c:pt>
                <c:pt idx="3">
                  <c:v>0.1031</c:v>
                </c:pt>
                <c:pt idx="4">
                  <c:v>0.1164</c:v>
                </c:pt>
                <c:pt idx="5">
                  <c:v>0.128</c:v>
                </c:pt>
                <c:pt idx="6">
                  <c:v>0.15129999999999999</c:v>
                </c:pt>
                <c:pt idx="7">
                  <c:v>0.16239999999999999</c:v>
                </c:pt>
                <c:pt idx="8">
                  <c:v>0.1704</c:v>
                </c:pt>
                <c:pt idx="9">
                  <c:v>0.1842</c:v>
                </c:pt>
                <c:pt idx="10">
                  <c:v>0.18959999999999999</c:v>
                </c:pt>
                <c:pt idx="11">
                  <c:v>0.21460000000000001</c:v>
                </c:pt>
                <c:pt idx="12">
                  <c:v>0.22939999999999999</c:v>
                </c:pt>
                <c:pt idx="13">
                  <c:v>0.22869999999999999</c:v>
                </c:pt>
                <c:pt idx="14">
                  <c:v>0.23150000000000001</c:v>
                </c:pt>
                <c:pt idx="15">
                  <c:v>0.23549999999999999</c:v>
                </c:pt>
                <c:pt idx="16">
                  <c:v>0.25</c:v>
                </c:pt>
                <c:pt idx="17">
                  <c:v>0.25629999999999997</c:v>
                </c:pt>
                <c:pt idx="18">
                  <c:v>0.26910000000000001</c:v>
                </c:pt>
                <c:pt idx="19">
                  <c:v>0.2727</c:v>
                </c:pt>
                <c:pt idx="20">
                  <c:v>0.26719999999999999</c:v>
                </c:pt>
                <c:pt idx="21">
                  <c:v>0.25969999999999999</c:v>
                </c:pt>
                <c:pt idx="22">
                  <c:v>0.27810000000000001</c:v>
                </c:pt>
                <c:pt idx="23">
                  <c:v>0.29559999999999997</c:v>
                </c:pt>
                <c:pt idx="24">
                  <c:v>0.29959999999999998</c:v>
                </c:pt>
                <c:pt idx="25">
                  <c:v>0.28970000000000001</c:v>
                </c:pt>
                <c:pt idx="26">
                  <c:v>0.28370000000000001</c:v>
                </c:pt>
                <c:pt idx="27">
                  <c:v>0.27810000000000001</c:v>
                </c:pt>
                <c:pt idx="28">
                  <c:v>0.30099999999999999</c:v>
                </c:pt>
                <c:pt idx="29">
                  <c:v>0.29680000000000001</c:v>
                </c:pt>
                <c:pt idx="30">
                  <c:v>0.30380000000000001</c:v>
                </c:pt>
                <c:pt idx="31">
                  <c:v>0.32379999999999998</c:v>
                </c:pt>
                <c:pt idx="32">
                  <c:v>0.32190000000000002</c:v>
                </c:pt>
                <c:pt idx="33">
                  <c:v>0.313</c:v>
                </c:pt>
                <c:pt idx="34">
                  <c:v>0.31219999999999998</c:v>
                </c:pt>
                <c:pt idx="35">
                  <c:v>0.3533</c:v>
                </c:pt>
                <c:pt idx="36">
                  <c:v>0.3639</c:v>
                </c:pt>
                <c:pt idx="37">
                  <c:v>0.4466</c:v>
                </c:pt>
                <c:pt idx="38">
                  <c:v>0.55010000000000003</c:v>
                </c:pt>
                <c:pt idx="39">
                  <c:v>1.0764</c:v>
                </c:pt>
              </c:numCache>
            </c:numRef>
          </c:yVal>
          <c:smooth val="0"/>
          <c:extLst xmlns:c16r2="http://schemas.microsoft.com/office/drawing/2015/06/chart">
            <c:ext xmlns:c16="http://schemas.microsoft.com/office/drawing/2014/chart" uri="{C3380CC4-5D6E-409C-BE32-E72D297353CC}">
              <c16:uniqueId val="{00000000-DCC5-4B20-A66A-294301E610E1}"/>
            </c:ext>
          </c:extLst>
        </c:ser>
        <c:ser>
          <c:idx val="1"/>
          <c:order val="1"/>
          <c:spPr>
            <a:ln w="28575">
              <a:noFill/>
            </a:ln>
          </c:spPr>
          <c:marker>
            <c:symbol val="circle"/>
            <c:size val="3"/>
            <c:spPr>
              <a:solidFill>
                <a:schemeClr val="bg1">
                  <a:lumMod val="75000"/>
                </a:schemeClr>
              </a:solidFill>
              <a:ln>
                <a:solidFill>
                  <a:schemeClr val="bg1">
                    <a:lumMod val="65000"/>
                  </a:schemeClr>
                </a:solidFill>
              </a:ln>
            </c:spPr>
          </c:marker>
          <c:xVal>
            <c:numRef>
              <c:f>Hoja2!$A$42:$A$81</c:f>
              <c:numCache>
                <c:formatCode>0.00E+00</c:formatCode>
                <c:ptCount val="40"/>
                <c:pt idx="0">
                  <c:v>0.99357300000000004</c:v>
                </c:pt>
                <c:pt idx="1">
                  <c:v>0.97511199999999998</c:v>
                </c:pt>
                <c:pt idx="2">
                  <c:v>0.94950900000000005</c:v>
                </c:pt>
                <c:pt idx="3">
                  <c:v>0.92439800000000005</c:v>
                </c:pt>
                <c:pt idx="4">
                  <c:v>0.89928699999999995</c:v>
                </c:pt>
                <c:pt idx="5">
                  <c:v>0.87415500000000002</c:v>
                </c:pt>
                <c:pt idx="6">
                  <c:v>0.84924599999999995</c:v>
                </c:pt>
                <c:pt idx="7">
                  <c:v>0.82414799999999999</c:v>
                </c:pt>
                <c:pt idx="8">
                  <c:v>0.79910999999999999</c:v>
                </c:pt>
                <c:pt idx="9">
                  <c:v>0.77405299999999999</c:v>
                </c:pt>
                <c:pt idx="10">
                  <c:v>0.74904400000000004</c:v>
                </c:pt>
                <c:pt idx="11">
                  <c:v>0.724387</c:v>
                </c:pt>
                <c:pt idx="12">
                  <c:v>0.69895099999999999</c:v>
                </c:pt>
                <c:pt idx="13">
                  <c:v>0.67415999999999998</c:v>
                </c:pt>
                <c:pt idx="14">
                  <c:v>0.64891100000000002</c:v>
                </c:pt>
                <c:pt idx="15">
                  <c:v>0.62401600000000002</c:v>
                </c:pt>
                <c:pt idx="16">
                  <c:v>0.59911800000000004</c:v>
                </c:pt>
                <c:pt idx="17">
                  <c:v>0.57393400000000006</c:v>
                </c:pt>
                <c:pt idx="18">
                  <c:v>0.54904600000000003</c:v>
                </c:pt>
                <c:pt idx="19">
                  <c:v>0.52404200000000001</c:v>
                </c:pt>
                <c:pt idx="20">
                  <c:v>0.49887399999999998</c:v>
                </c:pt>
                <c:pt idx="21">
                  <c:v>0.47403099999999998</c:v>
                </c:pt>
                <c:pt idx="22">
                  <c:v>0.44905099999999998</c:v>
                </c:pt>
                <c:pt idx="23">
                  <c:v>0.423821</c:v>
                </c:pt>
                <c:pt idx="24">
                  <c:v>0.39892499999999997</c:v>
                </c:pt>
                <c:pt idx="25">
                  <c:v>0.37385600000000002</c:v>
                </c:pt>
                <c:pt idx="26">
                  <c:v>0.34893999999999997</c:v>
                </c:pt>
                <c:pt idx="27">
                  <c:v>0.323851</c:v>
                </c:pt>
                <c:pt idx="28">
                  <c:v>0.29883700000000002</c:v>
                </c:pt>
                <c:pt idx="29">
                  <c:v>0.273843</c:v>
                </c:pt>
                <c:pt idx="30">
                  <c:v>0.24892400000000001</c:v>
                </c:pt>
                <c:pt idx="31">
                  <c:v>0.22386500000000001</c:v>
                </c:pt>
                <c:pt idx="32">
                  <c:v>0.198907</c:v>
                </c:pt>
                <c:pt idx="33">
                  <c:v>0.17407</c:v>
                </c:pt>
                <c:pt idx="34">
                  <c:v>0.148898</c:v>
                </c:pt>
                <c:pt idx="35">
                  <c:v>0.123946</c:v>
                </c:pt>
                <c:pt idx="36">
                  <c:v>9.8932699999999998E-2</c:v>
                </c:pt>
                <c:pt idx="37">
                  <c:v>7.3938500000000004E-2</c:v>
                </c:pt>
                <c:pt idx="38">
                  <c:v>4.89215E-2</c:v>
                </c:pt>
                <c:pt idx="39">
                  <c:v>2.34521E-2</c:v>
                </c:pt>
              </c:numCache>
            </c:numRef>
          </c:xVal>
          <c:yVal>
            <c:numRef>
              <c:f>Hoja2!$B$42:$B$81</c:f>
              <c:numCache>
                <c:formatCode>General</c:formatCode>
                <c:ptCount val="40"/>
                <c:pt idx="0">
                  <c:v>1.0711999999999999</c:v>
                </c:pt>
                <c:pt idx="1">
                  <c:v>0.62460000000000004</c:v>
                </c:pt>
                <c:pt idx="2">
                  <c:v>0.51380000000000003</c:v>
                </c:pt>
                <c:pt idx="3">
                  <c:v>0.4657</c:v>
                </c:pt>
                <c:pt idx="4">
                  <c:v>0.47960000000000003</c:v>
                </c:pt>
                <c:pt idx="5">
                  <c:v>0.45660000000000001</c:v>
                </c:pt>
                <c:pt idx="6">
                  <c:v>0.47720000000000001</c:v>
                </c:pt>
                <c:pt idx="7">
                  <c:v>0.47499999999999998</c:v>
                </c:pt>
                <c:pt idx="8">
                  <c:v>0.47549999999999998</c:v>
                </c:pt>
                <c:pt idx="9">
                  <c:v>0.4798</c:v>
                </c:pt>
                <c:pt idx="10">
                  <c:v>0.47120000000000001</c:v>
                </c:pt>
                <c:pt idx="11">
                  <c:v>0.50449999999999995</c:v>
                </c:pt>
                <c:pt idx="12">
                  <c:v>0.50549999999999995</c:v>
                </c:pt>
                <c:pt idx="13">
                  <c:v>0.51970000000000005</c:v>
                </c:pt>
                <c:pt idx="14">
                  <c:v>0.53920000000000001</c:v>
                </c:pt>
                <c:pt idx="15">
                  <c:v>0.53839999999999999</c:v>
                </c:pt>
                <c:pt idx="16">
                  <c:v>0.53710000000000002</c:v>
                </c:pt>
                <c:pt idx="17">
                  <c:v>0.56610000000000005</c:v>
                </c:pt>
                <c:pt idx="18">
                  <c:v>0.56189999999999996</c:v>
                </c:pt>
                <c:pt idx="19">
                  <c:v>0.56499999999999995</c:v>
                </c:pt>
                <c:pt idx="20">
                  <c:v>0.56359999999999999</c:v>
                </c:pt>
                <c:pt idx="21">
                  <c:v>0.5736</c:v>
                </c:pt>
                <c:pt idx="22">
                  <c:v>0.5806</c:v>
                </c:pt>
                <c:pt idx="23">
                  <c:v>0.57440000000000002</c:v>
                </c:pt>
                <c:pt idx="24">
                  <c:v>0.58299999999999996</c:v>
                </c:pt>
                <c:pt idx="25">
                  <c:v>0.57630000000000003</c:v>
                </c:pt>
                <c:pt idx="26">
                  <c:v>0.57430000000000003</c:v>
                </c:pt>
                <c:pt idx="27">
                  <c:v>0.56589999999999996</c:v>
                </c:pt>
                <c:pt idx="28">
                  <c:v>0.55810000000000004</c:v>
                </c:pt>
                <c:pt idx="29">
                  <c:v>0.55149999999999999</c:v>
                </c:pt>
                <c:pt idx="30">
                  <c:v>0.54369999999999996</c:v>
                </c:pt>
                <c:pt idx="31">
                  <c:v>0.5383</c:v>
                </c:pt>
                <c:pt idx="32">
                  <c:v>0.52190000000000003</c:v>
                </c:pt>
                <c:pt idx="33">
                  <c:v>0.49780000000000002</c:v>
                </c:pt>
                <c:pt idx="34">
                  <c:v>0.47620000000000001</c:v>
                </c:pt>
                <c:pt idx="35">
                  <c:v>0.45150000000000001</c:v>
                </c:pt>
                <c:pt idx="36">
                  <c:v>0.42780000000000001</c:v>
                </c:pt>
                <c:pt idx="37">
                  <c:v>0.39839999999999998</c:v>
                </c:pt>
                <c:pt idx="38">
                  <c:v>0.36609999999999998</c:v>
                </c:pt>
                <c:pt idx="39">
                  <c:v>0.31840000000000002</c:v>
                </c:pt>
              </c:numCache>
            </c:numRef>
          </c:yVal>
          <c:smooth val="0"/>
          <c:extLst xmlns:c16r2="http://schemas.microsoft.com/office/drawing/2015/06/chart">
            <c:ext xmlns:c16="http://schemas.microsoft.com/office/drawing/2014/chart" uri="{C3380CC4-5D6E-409C-BE32-E72D297353CC}">
              <c16:uniqueId val="{00000001-DCC5-4B20-A66A-294301E610E1}"/>
            </c:ext>
          </c:extLst>
        </c:ser>
        <c:dLbls>
          <c:showLegendKey val="0"/>
          <c:showVal val="0"/>
          <c:showCatName val="0"/>
          <c:showSerName val="0"/>
          <c:showPercent val="0"/>
          <c:showBubbleSize val="0"/>
        </c:dLbls>
        <c:axId val="465008512"/>
        <c:axId val="465011072"/>
      </c:scatterChart>
      <c:valAx>
        <c:axId val="465008512"/>
        <c:scaling>
          <c:orientation val="minMax"/>
          <c:max val="1"/>
        </c:scaling>
        <c:delete val="0"/>
        <c:axPos val="b"/>
        <c:title>
          <c:tx>
            <c:rich>
              <a:bodyPr/>
              <a:lstStyle/>
              <a:p>
                <a:pPr>
                  <a:defRPr/>
                </a:pPr>
                <a:r>
                  <a:rPr lang="es-ES"/>
                  <a:t>Relative</a:t>
                </a:r>
                <a:r>
                  <a:rPr lang="es-ES" baseline="0"/>
                  <a:t> pressure (P/P</a:t>
                </a:r>
                <a:r>
                  <a:rPr lang="es-ES" baseline="-25000"/>
                  <a:t>o</a:t>
                </a:r>
                <a:r>
                  <a:rPr lang="es-ES" baseline="0"/>
                  <a:t>)</a:t>
                </a:r>
                <a:endParaRPr lang="es-ES"/>
              </a:p>
            </c:rich>
          </c:tx>
          <c:layout>
            <c:manualLayout>
              <c:xMode val="edge"/>
              <c:yMode val="edge"/>
              <c:x val="0.27662245641348066"/>
              <c:y val="0.90106846880360425"/>
            </c:manualLayout>
          </c:layout>
          <c:overlay val="0"/>
        </c:title>
        <c:numFmt formatCode="#,##0.00" sourceLinked="0"/>
        <c:majorTickMark val="out"/>
        <c:minorTickMark val="none"/>
        <c:tickLblPos val="nextTo"/>
        <c:crossAx val="465011072"/>
        <c:crosses val="autoZero"/>
        <c:crossBetween val="midCat"/>
        <c:majorUnit val="0.2"/>
      </c:valAx>
      <c:valAx>
        <c:axId val="465011072"/>
        <c:scaling>
          <c:orientation val="minMax"/>
          <c:max val="2"/>
        </c:scaling>
        <c:delete val="0"/>
        <c:axPos val="l"/>
        <c:majorGridlines>
          <c:spPr>
            <a:ln>
              <a:solidFill>
                <a:schemeClr val="bg1">
                  <a:lumMod val="75000"/>
                </a:schemeClr>
              </a:solidFill>
              <a:prstDash val="sysDot"/>
            </a:ln>
          </c:spPr>
        </c:majorGridlines>
        <c:title>
          <c:tx>
            <c:rich>
              <a:bodyPr/>
              <a:lstStyle/>
              <a:p>
                <a:pPr>
                  <a:defRPr/>
                </a:pPr>
                <a:r>
                  <a:rPr lang="es-ES"/>
                  <a:t>Volume of N</a:t>
                </a:r>
                <a:r>
                  <a:rPr lang="es-ES" baseline="-25000"/>
                  <a:t>2</a:t>
                </a:r>
                <a:r>
                  <a:rPr lang="es-ES"/>
                  <a:t> adsorbed</a:t>
                </a:r>
                <a:r>
                  <a:rPr lang="es-ES" baseline="0"/>
                  <a:t> (cm</a:t>
                </a:r>
                <a:r>
                  <a:rPr lang="es-ES" baseline="30000"/>
                  <a:t>3</a:t>
                </a:r>
                <a:r>
                  <a:rPr lang="es-ES" baseline="-25000"/>
                  <a:t>STP</a:t>
                </a:r>
                <a:r>
                  <a:rPr lang="es-ES" baseline="0"/>
                  <a:t>/g)</a:t>
                </a:r>
                <a:endParaRPr lang="es-ES"/>
              </a:p>
            </c:rich>
          </c:tx>
          <c:layout>
            <c:manualLayout>
              <c:xMode val="edge"/>
              <c:yMode val="edge"/>
              <c:x val="1.7312854904543776E-3"/>
              <c:y val="6.5117903569140476E-2"/>
            </c:manualLayout>
          </c:layout>
          <c:overlay val="0"/>
        </c:title>
        <c:numFmt formatCode="General" sourceLinked="1"/>
        <c:majorTickMark val="out"/>
        <c:minorTickMark val="none"/>
        <c:tickLblPos val="nextTo"/>
        <c:crossAx val="465008512"/>
        <c:crosses val="autoZero"/>
        <c:crossBetween val="midCat"/>
      </c:valAx>
    </c:plotArea>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877728211730189"/>
          <c:y val="6.8274623566790996E-2"/>
          <c:w val="0.72584892667884193"/>
          <c:h val="0.73014693676110998"/>
        </c:manualLayout>
      </c:layout>
      <c:scatterChart>
        <c:scatterStyle val="lineMarker"/>
        <c:varyColors val="0"/>
        <c:ser>
          <c:idx val="0"/>
          <c:order val="0"/>
          <c:spPr>
            <a:ln w="28575">
              <a:noFill/>
            </a:ln>
          </c:spPr>
          <c:marker>
            <c:symbol val="circle"/>
            <c:size val="3"/>
            <c:spPr>
              <a:solidFill>
                <a:schemeClr val="bg1"/>
              </a:solidFill>
              <a:ln w="6350">
                <a:solidFill>
                  <a:schemeClr val="tx1"/>
                </a:solidFill>
              </a:ln>
            </c:spPr>
          </c:marker>
          <c:xVal>
            <c:numRef>
              <c:f>'C750  2   0.063   1 (Isotherm)'!$A$2:$A$41</c:f>
              <c:numCache>
                <c:formatCode>0.00E+00</c:formatCode>
                <c:ptCount val="40"/>
                <c:pt idx="0">
                  <c:v>2.5085400000000001E-2</c:v>
                </c:pt>
                <c:pt idx="1">
                  <c:v>5.1205800000000003E-2</c:v>
                </c:pt>
                <c:pt idx="2">
                  <c:v>7.6116900000000001E-2</c:v>
                </c:pt>
                <c:pt idx="3">
                  <c:v>0.10154000000000001</c:v>
                </c:pt>
                <c:pt idx="4">
                  <c:v>0.12595600000000001</c:v>
                </c:pt>
                <c:pt idx="5">
                  <c:v>0.150953</c:v>
                </c:pt>
                <c:pt idx="6">
                  <c:v>0.17597299999999999</c:v>
                </c:pt>
                <c:pt idx="7">
                  <c:v>0.20102100000000001</c:v>
                </c:pt>
                <c:pt idx="8">
                  <c:v>0.225934</c:v>
                </c:pt>
                <c:pt idx="9">
                  <c:v>0.25070700000000001</c:v>
                </c:pt>
                <c:pt idx="10">
                  <c:v>0.27615699999999999</c:v>
                </c:pt>
                <c:pt idx="11">
                  <c:v>0.30108499999999999</c:v>
                </c:pt>
                <c:pt idx="12">
                  <c:v>0.32585700000000001</c:v>
                </c:pt>
                <c:pt idx="13">
                  <c:v>0.35100199999999998</c:v>
                </c:pt>
                <c:pt idx="14">
                  <c:v>0.37597399999999997</c:v>
                </c:pt>
                <c:pt idx="15">
                  <c:v>0.40087</c:v>
                </c:pt>
                <c:pt idx="16">
                  <c:v>0.42588900000000002</c:v>
                </c:pt>
                <c:pt idx="17">
                  <c:v>0.450878</c:v>
                </c:pt>
                <c:pt idx="18">
                  <c:v>0.47579500000000002</c:v>
                </c:pt>
                <c:pt idx="19">
                  <c:v>0.50097199999999997</c:v>
                </c:pt>
                <c:pt idx="20">
                  <c:v>0.52581999999999995</c:v>
                </c:pt>
                <c:pt idx="21">
                  <c:v>0.55082299999999995</c:v>
                </c:pt>
                <c:pt idx="22">
                  <c:v>0.57612399999999997</c:v>
                </c:pt>
                <c:pt idx="23">
                  <c:v>0.60048500000000005</c:v>
                </c:pt>
                <c:pt idx="24">
                  <c:v>0.62570499999999996</c:v>
                </c:pt>
                <c:pt idx="25">
                  <c:v>0.65103500000000003</c:v>
                </c:pt>
                <c:pt idx="26">
                  <c:v>0.67554700000000001</c:v>
                </c:pt>
                <c:pt idx="27">
                  <c:v>0.70087600000000005</c:v>
                </c:pt>
                <c:pt idx="28">
                  <c:v>0.72578100000000001</c:v>
                </c:pt>
                <c:pt idx="29">
                  <c:v>0.75080899999999995</c:v>
                </c:pt>
                <c:pt idx="30">
                  <c:v>0.77573700000000001</c:v>
                </c:pt>
                <c:pt idx="31">
                  <c:v>0.80034099999999997</c:v>
                </c:pt>
                <c:pt idx="32">
                  <c:v>0.82558900000000002</c:v>
                </c:pt>
                <c:pt idx="33">
                  <c:v>0.85088299999999994</c:v>
                </c:pt>
                <c:pt idx="34">
                  <c:v>0.87526899999999996</c:v>
                </c:pt>
                <c:pt idx="35">
                  <c:v>0.90036000000000005</c:v>
                </c:pt>
                <c:pt idx="36">
                  <c:v>0.92508500000000005</c:v>
                </c:pt>
                <c:pt idx="37">
                  <c:v>0.95044099999999998</c:v>
                </c:pt>
                <c:pt idx="38">
                  <c:v>0.97442300000000004</c:v>
                </c:pt>
                <c:pt idx="39">
                  <c:v>0.99422200000000005</c:v>
                </c:pt>
              </c:numCache>
            </c:numRef>
          </c:xVal>
          <c:yVal>
            <c:numRef>
              <c:f>'C750  2   0.063   1 (Isotherm)'!$B$2:$B$41</c:f>
              <c:numCache>
                <c:formatCode>General</c:formatCode>
                <c:ptCount val="40"/>
                <c:pt idx="0">
                  <c:v>-2.7799999999999998E-2</c:v>
                </c:pt>
                <c:pt idx="1">
                  <c:v>1.5100000000000001E-2</c:v>
                </c:pt>
                <c:pt idx="2">
                  <c:v>5.7500000000000002E-2</c:v>
                </c:pt>
                <c:pt idx="3">
                  <c:v>8.9499999999999996E-2</c:v>
                </c:pt>
                <c:pt idx="4">
                  <c:v>0.1188</c:v>
                </c:pt>
                <c:pt idx="5">
                  <c:v>0.15229999999999999</c:v>
                </c:pt>
                <c:pt idx="6">
                  <c:v>0.17849999999999999</c:v>
                </c:pt>
                <c:pt idx="7">
                  <c:v>0.20269999999999999</c:v>
                </c:pt>
                <c:pt idx="8">
                  <c:v>0.22459999999999999</c:v>
                </c:pt>
                <c:pt idx="9">
                  <c:v>0.24590000000000001</c:v>
                </c:pt>
                <c:pt idx="10">
                  <c:v>0.2666</c:v>
                </c:pt>
                <c:pt idx="11">
                  <c:v>0.28289999999999998</c:v>
                </c:pt>
                <c:pt idx="12">
                  <c:v>0.30930000000000002</c:v>
                </c:pt>
                <c:pt idx="13">
                  <c:v>0.32190000000000002</c:v>
                </c:pt>
                <c:pt idx="14">
                  <c:v>0.34489999999999998</c:v>
                </c:pt>
                <c:pt idx="15">
                  <c:v>0.35930000000000001</c:v>
                </c:pt>
                <c:pt idx="16">
                  <c:v>0.37940000000000002</c:v>
                </c:pt>
                <c:pt idx="17">
                  <c:v>0.39050000000000001</c:v>
                </c:pt>
                <c:pt idx="18">
                  <c:v>0.41339999999999999</c:v>
                </c:pt>
                <c:pt idx="19">
                  <c:v>0.43530000000000002</c:v>
                </c:pt>
                <c:pt idx="20">
                  <c:v>0.44390000000000002</c:v>
                </c:pt>
                <c:pt idx="21">
                  <c:v>0.46439999999999998</c:v>
                </c:pt>
                <c:pt idx="22">
                  <c:v>0.4793</c:v>
                </c:pt>
                <c:pt idx="23">
                  <c:v>0.4834</c:v>
                </c:pt>
                <c:pt idx="24">
                  <c:v>0.51049999999999995</c:v>
                </c:pt>
                <c:pt idx="25">
                  <c:v>0.51829999999999998</c:v>
                </c:pt>
                <c:pt idx="26">
                  <c:v>0.53290000000000004</c:v>
                </c:pt>
                <c:pt idx="27">
                  <c:v>0.55859999999999999</c:v>
                </c:pt>
                <c:pt idx="28">
                  <c:v>0.56840000000000002</c:v>
                </c:pt>
                <c:pt idx="29">
                  <c:v>0.59530000000000005</c:v>
                </c:pt>
                <c:pt idx="30">
                  <c:v>0.61570000000000003</c:v>
                </c:pt>
                <c:pt idx="31">
                  <c:v>0.64249999999999996</c:v>
                </c:pt>
                <c:pt idx="32">
                  <c:v>0.66549999999999998</c:v>
                </c:pt>
                <c:pt idx="33">
                  <c:v>0.70720000000000005</c:v>
                </c:pt>
                <c:pt idx="34">
                  <c:v>0.7611</c:v>
                </c:pt>
                <c:pt idx="35">
                  <c:v>0.80120000000000002</c:v>
                </c:pt>
                <c:pt idx="36">
                  <c:v>0.86429999999999996</c:v>
                </c:pt>
                <c:pt idx="37">
                  <c:v>1.0036</c:v>
                </c:pt>
                <c:pt idx="38">
                  <c:v>1.2556</c:v>
                </c:pt>
                <c:pt idx="39">
                  <c:v>2.2117</c:v>
                </c:pt>
              </c:numCache>
            </c:numRef>
          </c:yVal>
          <c:smooth val="0"/>
          <c:extLst xmlns:c16r2="http://schemas.microsoft.com/office/drawing/2015/06/chart">
            <c:ext xmlns:c16="http://schemas.microsoft.com/office/drawing/2014/chart" uri="{C3380CC4-5D6E-409C-BE32-E72D297353CC}">
              <c16:uniqueId val="{00000000-AB2D-4A36-9C65-835E97E54EAA}"/>
            </c:ext>
          </c:extLst>
        </c:ser>
        <c:ser>
          <c:idx val="1"/>
          <c:order val="1"/>
          <c:spPr>
            <a:ln w="28575">
              <a:noFill/>
            </a:ln>
          </c:spPr>
          <c:marker>
            <c:symbol val="circle"/>
            <c:size val="3"/>
            <c:spPr>
              <a:solidFill>
                <a:schemeClr val="bg1">
                  <a:lumMod val="75000"/>
                </a:schemeClr>
              </a:solidFill>
              <a:ln>
                <a:solidFill>
                  <a:schemeClr val="bg1">
                    <a:lumMod val="65000"/>
                  </a:schemeClr>
                </a:solidFill>
              </a:ln>
            </c:spPr>
          </c:marker>
          <c:xVal>
            <c:numRef>
              <c:f>'C750  2   0.063   1 (Isotherm)'!$A$42:$A$81</c:f>
              <c:numCache>
                <c:formatCode>0.00E+00</c:formatCode>
                <c:ptCount val="40"/>
                <c:pt idx="0">
                  <c:v>0.99328899999999998</c:v>
                </c:pt>
                <c:pt idx="1">
                  <c:v>0.97408399999999995</c:v>
                </c:pt>
                <c:pt idx="2">
                  <c:v>0.95006999999999997</c:v>
                </c:pt>
                <c:pt idx="3">
                  <c:v>0.92459899999999995</c:v>
                </c:pt>
                <c:pt idx="4">
                  <c:v>0.89954900000000004</c:v>
                </c:pt>
                <c:pt idx="5">
                  <c:v>0.87431999999999999</c:v>
                </c:pt>
                <c:pt idx="6">
                  <c:v>0.84943599999999997</c:v>
                </c:pt>
                <c:pt idx="7">
                  <c:v>0.82419299999999995</c:v>
                </c:pt>
                <c:pt idx="8">
                  <c:v>0.79911699999999997</c:v>
                </c:pt>
                <c:pt idx="9">
                  <c:v>0.77465300000000004</c:v>
                </c:pt>
                <c:pt idx="10">
                  <c:v>0.74878400000000001</c:v>
                </c:pt>
                <c:pt idx="11">
                  <c:v>0.72423300000000002</c:v>
                </c:pt>
                <c:pt idx="12">
                  <c:v>0.69926600000000005</c:v>
                </c:pt>
                <c:pt idx="13">
                  <c:v>0.67383000000000004</c:v>
                </c:pt>
                <c:pt idx="14">
                  <c:v>0.64913399999999999</c:v>
                </c:pt>
                <c:pt idx="15">
                  <c:v>0.62405299999999997</c:v>
                </c:pt>
                <c:pt idx="16">
                  <c:v>0.59923400000000004</c:v>
                </c:pt>
                <c:pt idx="17">
                  <c:v>0.57393400000000006</c:v>
                </c:pt>
                <c:pt idx="18">
                  <c:v>0.54899100000000001</c:v>
                </c:pt>
                <c:pt idx="19">
                  <c:v>0.52398599999999995</c:v>
                </c:pt>
                <c:pt idx="20">
                  <c:v>0.49920700000000001</c:v>
                </c:pt>
                <c:pt idx="21">
                  <c:v>0.47403800000000001</c:v>
                </c:pt>
                <c:pt idx="22">
                  <c:v>0.44907399999999997</c:v>
                </c:pt>
                <c:pt idx="23">
                  <c:v>0.42394399999999999</c:v>
                </c:pt>
                <c:pt idx="24">
                  <c:v>0.39926600000000001</c:v>
                </c:pt>
                <c:pt idx="25">
                  <c:v>0.373969</c:v>
                </c:pt>
                <c:pt idx="26">
                  <c:v>0.34900599999999998</c:v>
                </c:pt>
                <c:pt idx="27">
                  <c:v>0.32390999999999998</c:v>
                </c:pt>
                <c:pt idx="28">
                  <c:v>0.298819</c:v>
                </c:pt>
                <c:pt idx="29">
                  <c:v>0.273949</c:v>
                </c:pt>
                <c:pt idx="30">
                  <c:v>0.249025</c:v>
                </c:pt>
                <c:pt idx="31">
                  <c:v>0.223852</c:v>
                </c:pt>
                <c:pt idx="32">
                  <c:v>0.19886699999999999</c:v>
                </c:pt>
                <c:pt idx="33">
                  <c:v>0.17412</c:v>
                </c:pt>
                <c:pt idx="34">
                  <c:v>0.148558</c:v>
                </c:pt>
                <c:pt idx="35">
                  <c:v>0.12396500000000001</c:v>
                </c:pt>
                <c:pt idx="36">
                  <c:v>9.8962999999999995E-2</c:v>
                </c:pt>
                <c:pt idx="37">
                  <c:v>7.4029499999999998E-2</c:v>
                </c:pt>
                <c:pt idx="38">
                  <c:v>4.9067899999999998E-2</c:v>
                </c:pt>
                <c:pt idx="39">
                  <c:v>2.3804499999999999E-2</c:v>
                </c:pt>
              </c:numCache>
            </c:numRef>
          </c:xVal>
          <c:yVal>
            <c:numRef>
              <c:f>'C750  2   0.063   1 (Isotherm)'!$B$42:$B$81</c:f>
              <c:numCache>
                <c:formatCode>General</c:formatCode>
                <c:ptCount val="40"/>
                <c:pt idx="0">
                  <c:v>2.1627000000000001</c:v>
                </c:pt>
                <c:pt idx="1">
                  <c:v>1.3321000000000001</c:v>
                </c:pt>
                <c:pt idx="2">
                  <c:v>1.1092</c:v>
                </c:pt>
                <c:pt idx="3">
                  <c:v>1.0092000000000001</c:v>
                </c:pt>
                <c:pt idx="4">
                  <c:v>0.94110000000000005</c:v>
                </c:pt>
                <c:pt idx="5">
                  <c:v>0.92149999999999999</c:v>
                </c:pt>
                <c:pt idx="6">
                  <c:v>0.89029999999999998</c:v>
                </c:pt>
                <c:pt idx="7">
                  <c:v>0.86850000000000005</c:v>
                </c:pt>
                <c:pt idx="8">
                  <c:v>0.85629999999999995</c:v>
                </c:pt>
                <c:pt idx="9">
                  <c:v>0.84750000000000003</c:v>
                </c:pt>
                <c:pt idx="10">
                  <c:v>0.84019999999999995</c:v>
                </c:pt>
                <c:pt idx="11">
                  <c:v>0.8206</c:v>
                </c:pt>
                <c:pt idx="12">
                  <c:v>0.83309999999999995</c:v>
                </c:pt>
                <c:pt idx="13">
                  <c:v>0.8377</c:v>
                </c:pt>
                <c:pt idx="14">
                  <c:v>0.83640000000000003</c:v>
                </c:pt>
                <c:pt idx="15">
                  <c:v>0.83440000000000003</c:v>
                </c:pt>
                <c:pt idx="16">
                  <c:v>0.81369999999999998</c:v>
                </c:pt>
                <c:pt idx="17">
                  <c:v>0.80789999999999995</c:v>
                </c:pt>
                <c:pt idx="18">
                  <c:v>0.81059999999999999</c:v>
                </c:pt>
                <c:pt idx="19">
                  <c:v>0.8105</c:v>
                </c:pt>
                <c:pt idx="20">
                  <c:v>0.79659999999999997</c:v>
                </c:pt>
                <c:pt idx="21">
                  <c:v>0.79769999999999996</c:v>
                </c:pt>
                <c:pt idx="22">
                  <c:v>0.79100000000000004</c:v>
                </c:pt>
                <c:pt idx="23">
                  <c:v>0.78639999999999999</c:v>
                </c:pt>
                <c:pt idx="24">
                  <c:v>0.77370000000000005</c:v>
                </c:pt>
                <c:pt idx="25">
                  <c:v>0.76119999999999999</c:v>
                </c:pt>
                <c:pt idx="26">
                  <c:v>0.75609999999999999</c:v>
                </c:pt>
                <c:pt idx="27">
                  <c:v>0.73750000000000004</c:v>
                </c:pt>
                <c:pt idx="28">
                  <c:v>0.73329999999999995</c:v>
                </c:pt>
                <c:pt idx="29">
                  <c:v>0.71460000000000001</c:v>
                </c:pt>
                <c:pt idx="30">
                  <c:v>0.69210000000000005</c:v>
                </c:pt>
                <c:pt idx="31">
                  <c:v>0.66759999999999997</c:v>
                </c:pt>
                <c:pt idx="32">
                  <c:v>0.64880000000000004</c:v>
                </c:pt>
                <c:pt idx="33">
                  <c:v>0.62270000000000003</c:v>
                </c:pt>
                <c:pt idx="34">
                  <c:v>0.59519999999999995</c:v>
                </c:pt>
                <c:pt idx="35">
                  <c:v>0.55879999999999996</c:v>
                </c:pt>
                <c:pt idx="36">
                  <c:v>0.52800000000000002</c:v>
                </c:pt>
                <c:pt idx="37">
                  <c:v>0.48880000000000001</c:v>
                </c:pt>
                <c:pt idx="38">
                  <c:v>0.4486</c:v>
                </c:pt>
                <c:pt idx="39">
                  <c:v>0.38080000000000003</c:v>
                </c:pt>
              </c:numCache>
            </c:numRef>
          </c:yVal>
          <c:smooth val="0"/>
          <c:extLst xmlns:c16r2="http://schemas.microsoft.com/office/drawing/2015/06/chart">
            <c:ext xmlns:c16="http://schemas.microsoft.com/office/drawing/2014/chart" uri="{C3380CC4-5D6E-409C-BE32-E72D297353CC}">
              <c16:uniqueId val="{00000001-AB2D-4A36-9C65-835E97E54EAA}"/>
            </c:ext>
          </c:extLst>
        </c:ser>
        <c:dLbls>
          <c:showLegendKey val="0"/>
          <c:showVal val="0"/>
          <c:showCatName val="0"/>
          <c:showSerName val="0"/>
          <c:showPercent val="0"/>
          <c:showBubbleSize val="0"/>
        </c:dLbls>
        <c:axId val="464888960"/>
        <c:axId val="464891264"/>
      </c:scatterChart>
      <c:valAx>
        <c:axId val="464888960"/>
        <c:scaling>
          <c:orientation val="minMax"/>
          <c:max val="1"/>
        </c:scaling>
        <c:delete val="0"/>
        <c:axPos val="b"/>
        <c:title>
          <c:tx>
            <c:rich>
              <a:bodyPr/>
              <a:lstStyle/>
              <a:p>
                <a:pPr>
                  <a:defRPr/>
                </a:pPr>
                <a:r>
                  <a:rPr lang="es-ES"/>
                  <a:t>Relative</a:t>
                </a:r>
                <a:r>
                  <a:rPr lang="es-ES" baseline="0"/>
                  <a:t> pressure (P/P</a:t>
                </a:r>
                <a:r>
                  <a:rPr lang="es-ES" baseline="-25000"/>
                  <a:t>o</a:t>
                </a:r>
                <a:r>
                  <a:rPr lang="es-ES" baseline="0"/>
                  <a:t>)</a:t>
                </a:r>
                <a:endParaRPr lang="es-ES"/>
              </a:p>
            </c:rich>
          </c:tx>
          <c:layout>
            <c:manualLayout>
              <c:xMode val="edge"/>
              <c:yMode val="edge"/>
              <c:x val="0.27662245641348066"/>
              <c:y val="0.90106846880360425"/>
            </c:manualLayout>
          </c:layout>
          <c:overlay val="0"/>
        </c:title>
        <c:numFmt formatCode="#,##0.00" sourceLinked="0"/>
        <c:majorTickMark val="out"/>
        <c:minorTickMark val="none"/>
        <c:tickLblPos val="nextTo"/>
        <c:crossAx val="464891264"/>
        <c:crosses val="autoZero"/>
        <c:crossBetween val="midCat"/>
        <c:majorUnit val="0.2"/>
      </c:valAx>
      <c:valAx>
        <c:axId val="464891264"/>
        <c:scaling>
          <c:orientation val="minMax"/>
          <c:max val="2"/>
          <c:min val="0"/>
        </c:scaling>
        <c:delete val="0"/>
        <c:axPos val="l"/>
        <c:majorGridlines>
          <c:spPr>
            <a:ln>
              <a:solidFill>
                <a:schemeClr val="bg1">
                  <a:lumMod val="75000"/>
                </a:schemeClr>
              </a:solidFill>
              <a:prstDash val="sysDot"/>
            </a:ln>
          </c:spPr>
        </c:majorGridlines>
        <c:title>
          <c:tx>
            <c:rich>
              <a:bodyPr/>
              <a:lstStyle/>
              <a:p>
                <a:pPr>
                  <a:defRPr/>
                </a:pPr>
                <a:r>
                  <a:rPr lang="es-ES"/>
                  <a:t>Volume of N</a:t>
                </a:r>
                <a:r>
                  <a:rPr lang="es-ES" baseline="-25000"/>
                  <a:t>2</a:t>
                </a:r>
                <a:r>
                  <a:rPr lang="es-ES"/>
                  <a:t> adsorbed</a:t>
                </a:r>
                <a:r>
                  <a:rPr lang="es-ES" baseline="0"/>
                  <a:t> (cm</a:t>
                </a:r>
                <a:r>
                  <a:rPr lang="es-ES" baseline="30000"/>
                  <a:t>3</a:t>
                </a:r>
                <a:r>
                  <a:rPr lang="es-ES" baseline="-25000"/>
                  <a:t>STP</a:t>
                </a:r>
                <a:r>
                  <a:rPr lang="es-ES" baseline="0"/>
                  <a:t>/g)</a:t>
                </a:r>
                <a:endParaRPr lang="es-ES"/>
              </a:p>
            </c:rich>
          </c:tx>
          <c:layout>
            <c:manualLayout>
              <c:xMode val="edge"/>
              <c:yMode val="edge"/>
              <c:x val="1.7312854904543776E-3"/>
              <c:y val="6.5117903569140476E-2"/>
            </c:manualLayout>
          </c:layout>
          <c:overlay val="0"/>
        </c:title>
        <c:numFmt formatCode="General" sourceLinked="1"/>
        <c:majorTickMark val="out"/>
        <c:minorTickMark val="none"/>
        <c:tickLblPos val="nextTo"/>
        <c:crossAx val="464888960"/>
        <c:crosses val="autoZero"/>
        <c:crossBetween val="midCat"/>
      </c:valAx>
    </c:plotArea>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445914621497054"/>
          <c:y val="0.19623058029171259"/>
          <c:w val="0.73539194198663316"/>
          <c:h val="0.61118170883325074"/>
        </c:manualLayout>
      </c:layout>
      <c:scatterChart>
        <c:scatterStyle val="lineMarker"/>
        <c:varyColors val="0"/>
        <c:ser>
          <c:idx val="2"/>
          <c:order val="0"/>
          <c:tx>
            <c:strRef>
              <c:f>MINITAB!$E$13</c:f>
              <c:strCache>
                <c:ptCount val="1"/>
                <c:pt idx="0">
                  <c:v>DM750 </c:v>
                </c:pt>
              </c:strCache>
            </c:strRef>
          </c:tx>
          <c:spPr>
            <a:ln w="25400">
              <a:noFill/>
            </a:ln>
          </c:spPr>
          <c:marker>
            <c:symbol val="circle"/>
            <c:size val="3"/>
          </c:marker>
          <c:xVal>
            <c:numRef>
              <c:f>MINITAB!$B$14:$B$24</c:f>
              <c:numCache>
                <c:formatCode>General</c:formatCode>
                <c:ptCount val="11"/>
                <c:pt idx="0">
                  <c:v>1.7999999999999999E-2</c:v>
                </c:pt>
                <c:pt idx="1">
                  <c:v>3.4000000000000002E-2</c:v>
                </c:pt>
                <c:pt idx="2">
                  <c:v>5.8000000000000003E-2</c:v>
                </c:pt>
                <c:pt idx="3">
                  <c:v>8.3000000000000004E-2</c:v>
                </c:pt>
                <c:pt idx="4">
                  <c:v>0.125</c:v>
                </c:pt>
                <c:pt idx="5">
                  <c:v>0.16700000000000001</c:v>
                </c:pt>
                <c:pt idx="6">
                  <c:v>0.25</c:v>
                </c:pt>
                <c:pt idx="7">
                  <c:v>0.33</c:v>
                </c:pt>
                <c:pt idx="8">
                  <c:v>0.5</c:v>
                </c:pt>
                <c:pt idx="9">
                  <c:v>0.66700000000000004</c:v>
                </c:pt>
                <c:pt idx="10">
                  <c:v>0.83299999999999996</c:v>
                </c:pt>
              </c:numCache>
            </c:numRef>
          </c:xVal>
          <c:yVal>
            <c:numRef>
              <c:f>MINITAB!$E$14:$E$24</c:f>
              <c:numCache>
                <c:formatCode>General</c:formatCode>
                <c:ptCount val="11"/>
                <c:pt idx="0">
                  <c:v>1.9761000000001161</c:v>
                </c:pt>
                <c:pt idx="1">
                  <c:v>3.6043000000000802</c:v>
                </c:pt>
                <c:pt idx="2">
                  <c:v>4.8377000000000692</c:v>
                </c:pt>
                <c:pt idx="3">
                  <c:v>5.6301000000000556</c:v>
                </c:pt>
                <c:pt idx="4">
                  <c:v>7.6154999999999973</c:v>
                </c:pt>
                <c:pt idx="5">
                  <c:v>8.7994000000000483</c:v>
                </c:pt>
                <c:pt idx="6">
                  <c:v>11.223000000000098</c:v>
                </c:pt>
                <c:pt idx="7">
                  <c:v>12.386500000000067</c:v>
                </c:pt>
                <c:pt idx="8">
                  <c:v>15.268300000000037</c:v>
                </c:pt>
                <c:pt idx="9">
                  <c:v>16.734100000000041</c:v>
                </c:pt>
                <c:pt idx="10">
                  <c:v>19.476300000000034</c:v>
                </c:pt>
              </c:numCache>
            </c:numRef>
          </c:yVal>
          <c:smooth val="0"/>
          <c:extLst xmlns:c16r2="http://schemas.microsoft.com/office/drawing/2015/06/chart">
            <c:ext xmlns:c16="http://schemas.microsoft.com/office/drawing/2014/chart" uri="{C3380CC4-5D6E-409C-BE32-E72D297353CC}">
              <c16:uniqueId val="{00000000-C5EF-4141-A311-7E3B2946BD5C}"/>
            </c:ext>
          </c:extLst>
        </c:ser>
        <c:ser>
          <c:idx val="5"/>
          <c:order val="1"/>
          <c:tx>
            <c:v>DM750 (Langmuir)</c:v>
          </c:tx>
          <c:spPr>
            <a:ln w="6350">
              <a:solidFill>
                <a:schemeClr val="bg1">
                  <a:lumMod val="65000"/>
                </a:schemeClr>
              </a:solidFill>
            </a:ln>
          </c:spPr>
          <c:marker>
            <c:symbol val="none"/>
          </c:marker>
          <c:xVal>
            <c:numRef>
              <c:f>MINITAB!$G$14:$G$24</c:f>
              <c:numCache>
                <c:formatCode>General</c:formatCode>
                <c:ptCount val="11"/>
                <c:pt idx="0">
                  <c:v>1.7999999999999999E-2</c:v>
                </c:pt>
                <c:pt idx="1">
                  <c:v>3.4000000000000002E-2</c:v>
                </c:pt>
                <c:pt idx="2">
                  <c:v>5.8000000000000003E-2</c:v>
                </c:pt>
                <c:pt idx="3">
                  <c:v>8.3000000000000004E-2</c:v>
                </c:pt>
                <c:pt idx="4">
                  <c:v>0.125</c:v>
                </c:pt>
                <c:pt idx="5">
                  <c:v>0.16700000000000001</c:v>
                </c:pt>
                <c:pt idx="6">
                  <c:v>0.25</c:v>
                </c:pt>
                <c:pt idx="7">
                  <c:v>0.33</c:v>
                </c:pt>
                <c:pt idx="8">
                  <c:v>0.5</c:v>
                </c:pt>
                <c:pt idx="9">
                  <c:v>0.66700000000000004</c:v>
                </c:pt>
                <c:pt idx="10">
                  <c:v>0.83299999999999996</c:v>
                </c:pt>
              </c:numCache>
            </c:numRef>
          </c:xVal>
          <c:yVal>
            <c:numRef>
              <c:f>MINITAB!$J$14:$J$24</c:f>
              <c:numCache>
                <c:formatCode>0.00</c:formatCode>
                <c:ptCount val="11"/>
                <c:pt idx="0">
                  <c:v>1.4491245847973471</c:v>
                </c:pt>
                <c:pt idx="1">
                  <c:v>2.6013540573685812</c:v>
                </c:pt>
                <c:pt idx="2">
                  <c:v>4.1300680085216701</c:v>
                </c:pt>
                <c:pt idx="3">
                  <c:v>5.5123350872418397</c:v>
                </c:pt>
                <c:pt idx="4">
                  <c:v>7.4580991411256914</c:v>
                </c:pt>
                <c:pt idx="5">
                  <c:v>9.0448890557765314</c:v>
                </c:pt>
                <c:pt idx="6">
                  <c:v>11.452528620204859</c:v>
                </c:pt>
                <c:pt idx="7">
                  <c:v>13.161379041828214</c:v>
                </c:pt>
                <c:pt idx="8">
                  <c:v>15.64107342049922</c:v>
                </c:pt>
                <c:pt idx="9">
                  <c:v>17.217694841042952</c:v>
                </c:pt>
                <c:pt idx="10">
                  <c:v>18.319463026454514</c:v>
                </c:pt>
              </c:numCache>
            </c:numRef>
          </c:yVal>
          <c:smooth val="0"/>
          <c:extLst xmlns:c16r2="http://schemas.microsoft.com/office/drawing/2015/06/chart">
            <c:ext xmlns:c16="http://schemas.microsoft.com/office/drawing/2014/chart" uri="{C3380CC4-5D6E-409C-BE32-E72D297353CC}">
              <c16:uniqueId val="{00000001-C5EF-4141-A311-7E3B2946BD5C}"/>
            </c:ext>
          </c:extLst>
        </c:ser>
        <c:ser>
          <c:idx val="1"/>
          <c:order val="2"/>
          <c:tx>
            <c:strRef>
              <c:f>MINITAB!$D$13</c:f>
              <c:strCache>
                <c:ptCount val="1"/>
                <c:pt idx="0">
                  <c:v>DM550</c:v>
                </c:pt>
              </c:strCache>
            </c:strRef>
          </c:tx>
          <c:spPr>
            <a:ln w="25400">
              <a:noFill/>
            </a:ln>
          </c:spPr>
          <c:marker>
            <c:symbol val="square"/>
            <c:size val="3"/>
          </c:marker>
          <c:xVal>
            <c:numRef>
              <c:f>MINITAB!$B$14:$B$24</c:f>
              <c:numCache>
                <c:formatCode>General</c:formatCode>
                <c:ptCount val="11"/>
                <c:pt idx="0">
                  <c:v>1.7999999999999999E-2</c:v>
                </c:pt>
                <c:pt idx="1">
                  <c:v>3.4000000000000002E-2</c:v>
                </c:pt>
                <c:pt idx="2">
                  <c:v>5.8000000000000003E-2</c:v>
                </c:pt>
                <c:pt idx="3">
                  <c:v>8.3000000000000004E-2</c:v>
                </c:pt>
                <c:pt idx="4">
                  <c:v>0.125</c:v>
                </c:pt>
                <c:pt idx="5">
                  <c:v>0.16700000000000001</c:v>
                </c:pt>
                <c:pt idx="6">
                  <c:v>0.25</c:v>
                </c:pt>
                <c:pt idx="7">
                  <c:v>0.33</c:v>
                </c:pt>
                <c:pt idx="8">
                  <c:v>0.5</c:v>
                </c:pt>
                <c:pt idx="9">
                  <c:v>0.66700000000000004</c:v>
                </c:pt>
                <c:pt idx="10">
                  <c:v>0.83299999999999996</c:v>
                </c:pt>
              </c:numCache>
            </c:numRef>
          </c:xVal>
          <c:yVal>
            <c:numRef>
              <c:f>MINITAB!$D$14:$D$24</c:f>
              <c:numCache>
                <c:formatCode>General</c:formatCode>
                <c:ptCount val="11"/>
                <c:pt idx="0">
                  <c:v>1.9404000000000108</c:v>
                </c:pt>
                <c:pt idx="1">
                  <c:v>3.5360000000000014</c:v>
                </c:pt>
                <c:pt idx="2">
                  <c:v>4.8486000000001184</c:v>
                </c:pt>
                <c:pt idx="3">
                  <c:v>5.1403999999999428</c:v>
                </c:pt>
                <c:pt idx="4">
                  <c:v>7.8821000000000652</c:v>
                </c:pt>
                <c:pt idx="5">
                  <c:v>7.8462999999999283</c:v>
                </c:pt>
                <c:pt idx="6">
                  <c:v>9.6408999999999878</c:v>
                </c:pt>
                <c:pt idx="7">
                  <c:v>11.059800000000022</c:v>
                </c:pt>
                <c:pt idx="8">
                  <c:v>14.558099999999996</c:v>
                </c:pt>
                <c:pt idx="9">
                  <c:v>14.279499999999954</c:v>
                </c:pt>
                <c:pt idx="10">
                  <c:v>17.803600000000017</c:v>
                </c:pt>
              </c:numCache>
            </c:numRef>
          </c:yVal>
          <c:smooth val="0"/>
          <c:extLst xmlns:c16r2="http://schemas.microsoft.com/office/drawing/2015/06/chart">
            <c:ext xmlns:c16="http://schemas.microsoft.com/office/drawing/2014/chart" uri="{C3380CC4-5D6E-409C-BE32-E72D297353CC}">
              <c16:uniqueId val="{00000002-C5EF-4141-A311-7E3B2946BD5C}"/>
            </c:ext>
          </c:extLst>
        </c:ser>
        <c:ser>
          <c:idx val="4"/>
          <c:order val="3"/>
          <c:tx>
            <c:v>DM550 (Langmuir)</c:v>
          </c:tx>
          <c:spPr>
            <a:ln w="6350">
              <a:solidFill>
                <a:schemeClr val="accent2"/>
              </a:solidFill>
            </a:ln>
          </c:spPr>
          <c:marker>
            <c:symbol val="none"/>
          </c:marker>
          <c:xVal>
            <c:numRef>
              <c:f>MINITAB!$G$14:$G$24</c:f>
              <c:numCache>
                <c:formatCode>General</c:formatCode>
                <c:ptCount val="11"/>
                <c:pt idx="0">
                  <c:v>1.7999999999999999E-2</c:v>
                </c:pt>
                <c:pt idx="1">
                  <c:v>3.4000000000000002E-2</c:v>
                </c:pt>
                <c:pt idx="2">
                  <c:v>5.8000000000000003E-2</c:v>
                </c:pt>
                <c:pt idx="3">
                  <c:v>8.3000000000000004E-2</c:v>
                </c:pt>
                <c:pt idx="4">
                  <c:v>0.125</c:v>
                </c:pt>
                <c:pt idx="5">
                  <c:v>0.16700000000000001</c:v>
                </c:pt>
                <c:pt idx="6">
                  <c:v>0.25</c:v>
                </c:pt>
                <c:pt idx="7">
                  <c:v>0.33</c:v>
                </c:pt>
                <c:pt idx="8">
                  <c:v>0.5</c:v>
                </c:pt>
                <c:pt idx="9">
                  <c:v>0.66700000000000004</c:v>
                </c:pt>
                <c:pt idx="10">
                  <c:v>0.83299999999999996</c:v>
                </c:pt>
              </c:numCache>
            </c:numRef>
          </c:xVal>
          <c:yVal>
            <c:numRef>
              <c:f>MINITAB!$I$14:$I$24</c:f>
              <c:numCache>
                <c:formatCode>0.00</c:formatCode>
                <c:ptCount val="11"/>
                <c:pt idx="0">
                  <c:v>1.4024976176684913</c:v>
                </c:pt>
                <c:pt idx="1">
                  <c:v>2.5028776457711794</c:v>
                </c:pt>
                <c:pt idx="2">
                  <c:v>3.9430194492900115</c:v>
                </c:pt>
                <c:pt idx="3">
                  <c:v>5.2261744920839854</c:v>
                </c:pt>
                <c:pt idx="4">
                  <c:v>7.002544080604534</c:v>
                </c:pt>
                <c:pt idx="5">
                  <c:v>8.4259545545291203</c:v>
                </c:pt>
                <c:pt idx="6">
                  <c:v>10.543653603034134</c:v>
                </c:pt>
                <c:pt idx="7">
                  <c:v>12.016809588263545</c:v>
                </c:pt>
                <c:pt idx="8">
                  <c:v>14.111725888324873</c:v>
                </c:pt>
                <c:pt idx="9">
                  <c:v>15.418088315590206</c:v>
                </c:pt>
                <c:pt idx="10">
                  <c:v>16.319464485803483</c:v>
                </c:pt>
              </c:numCache>
            </c:numRef>
          </c:yVal>
          <c:smooth val="0"/>
          <c:extLst xmlns:c16r2="http://schemas.microsoft.com/office/drawing/2015/06/chart">
            <c:ext xmlns:c16="http://schemas.microsoft.com/office/drawing/2014/chart" uri="{C3380CC4-5D6E-409C-BE32-E72D297353CC}">
              <c16:uniqueId val="{00000003-C5EF-4141-A311-7E3B2946BD5C}"/>
            </c:ext>
          </c:extLst>
        </c:ser>
        <c:ser>
          <c:idx val="0"/>
          <c:order val="4"/>
          <c:tx>
            <c:strRef>
              <c:f>MINITAB!$C$13</c:f>
              <c:strCache>
                <c:ptCount val="1"/>
                <c:pt idx="0">
                  <c:v>DM350 </c:v>
                </c:pt>
              </c:strCache>
            </c:strRef>
          </c:tx>
          <c:spPr>
            <a:ln w="25400">
              <a:noFill/>
            </a:ln>
          </c:spPr>
          <c:marker>
            <c:symbol val="diamond"/>
            <c:size val="3"/>
            <c:spPr>
              <a:solidFill>
                <a:schemeClr val="accent1"/>
              </a:solidFill>
            </c:spPr>
          </c:marker>
          <c:xVal>
            <c:numRef>
              <c:f>MINITAB!$B$14:$B$24</c:f>
              <c:numCache>
                <c:formatCode>General</c:formatCode>
                <c:ptCount val="11"/>
                <c:pt idx="0">
                  <c:v>1.7999999999999999E-2</c:v>
                </c:pt>
                <c:pt idx="1">
                  <c:v>3.4000000000000002E-2</c:v>
                </c:pt>
                <c:pt idx="2">
                  <c:v>5.8000000000000003E-2</c:v>
                </c:pt>
                <c:pt idx="3">
                  <c:v>8.3000000000000004E-2</c:v>
                </c:pt>
                <c:pt idx="4">
                  <c:v>0.125</c:v>
                </c:pt>
                <c:pt idx="5">
                  <c:v>0.16700000000000001</c:v>
                </c:pt>
                <c:pt idx="6">
                  <c:v>0.25</c:v>
                </c:pt>
                <c:pt idx="7">
                  <c:v>0.33</c:v>
                </c:pt>
                <c:pt idx="8">
                  <c:v>0.5</c:v>
                </c:pt>
                <c:pt idx="9">
                  <c:v>0.66700000000000004</c:v>
                </c:pt>
                <c:pt idx="10">
                  <c:v>0.83299999999999996</c:v>
                </c:pt>
              </c:numCache>
            </c:numRef>
          </c:xVal>
          <c:yVal>
            <c:numRef>
              <c:f>MINITAB!$C$14:$C$24</c:f>
              <c:numCache>
                <c:formatCode>General</c:formatCode>
                <c:ptCount val="11"/>
                <c:pt idx="0">
                  <c:v>0.47139999999998844</c:v>
                </c:pt>
                <c:pt idx="1">
                  <c:v>1.3599999999999568</c:v>
                </c:pt>
                <c:pt idx="2">
                  <c:v>2.0923000000000513</c:v>
                </c:pt>
                <c:pt idx="3">
                  <c:v>1.9908999999999819</c:v>
                </c:pt>
                <c:pt idx="4">
                  <c:v>3.3512999999999238</c:v>
                </c:pt>
                <c:pt idx="5">
                  <c:v>3.5251999999999839</c:v>
                </c:pt>
                <c:pt idx="6">
                  <c:v>3.6351999999999407</c:v>
                </c:pt>
                <c:pt idx="7">
                  <c:v>4.9044999999999561</c:v>
                </c:pt>
                <c:pt idx="8">
                  <c:v>6.7900000000000205</c:v>
                </c:pt>
                <c:pt idx="9">
                  <c:v>6.7828000000000088</c:v>
                </c:pt>
                <c:pt idx="10">
                  <c:v>8.5309999999999775</c:v>
                </c:pt>
              </c:numCache>
            </c:numRef>
          </c:yVal>
          <c:smooth val="0"/>
          <c:extLst xmlns:c16r2="http://schemas.microsoft.com/office/drawing/2015/06/chart">
            <c:ext xmlns:c16="http://schemas.microsoft.com/office/drawing/2014/chart" uri="{C3380CC4-5D6E-409C-BE32-E72D297353CC}">
              <c16:uniqueId val="{00000004-C5EF-4141-A311-7E3B2946BD5C}"/>
            </c:ext>
          </c:extLst>
        </c:ser>
        <c:ser>
          <c:idx val="3"/>
          <c:order val="5"/>
          <c:tx>
            <c:v>DM350 (Langmuir)</c:v>
          </c:tx>
          <c:spPr>
            <a:ln w="6350">
              <a:solidFill>
                <a:schemeClr val="accent1"/>
              </a:solidFill>
            </a:ln>
          </c:spPr>
          <c:marker>
            <c:symbol val="none"/>
          </c:marker>
          <c:xVal>
            <c:numRef>
              <c:f>MINITAB!$G$14:$G$24</c:f>
              <c:numCache>
                <c:formatCode>General</c:formatCode>
                <c:ptCount val="11"/>
                <c:pt idx="0">
                  <c:v>1.7999999999999999E-2</c:v>
                </c:pt>
                <c:pt idx="1">
                  <c:v>3.4000000000000002E-2</c:v>
                </c:pt>
                <c:pt idx="2">
                  <c:v>5.8000000000000003E-2</c:v>
                </c:pt>
                <c:pt idx="3">
                  <c:v>8.3000000000000004E-2</c:v>
                </c:pt>
                <c:pt idx="4">
                  <c:v>0.125</c:v>
                </c:pt>
                <c:pt idx="5">
                  <c:v>0.16700000000000001</c:v>
                </c:pt>
                <c:pt idx="6">
                  <c:v>0.25</c:v>
                </c:pt>
                <c:pt idx="7">
                  <c:v>0.33</c:v>
                </c:pt>
                <c:pt idx="8">
                  <c:v>0.5</c:v>
                </c:pt>
                <c:pt idx="9">
                  <c:v>0.66700000000000004</c:v>
                </c:pt>
                <c:pt idx="10">
                  <c:v>0.83299999999999996</c:v>
                </c:pt>
              </c:numCache>
            </c:numRef>
          </c:xVal>
          <c:yVal>
            <c:numRef>
              <c:f>MINITAB!$H$14:$H$24</c:f>
              <c:numCache>
                <c:formatCode>0.00</c:formatCode>
                <c:ptCount val="11"/>
                <c:pt idx="0">
                  <c:v>0.49976253428879081</c:v>
                </c:pt>
                <c:pt idx="1">
                  <c:v>0.90975179139482243</c:v>
                </c:pt>
                <c:pt idx="2">
                  <c:v>1.4718414220677982</c:v>
                </c:pt>
                <c:pt idx="3">
                  <c:v>1.9988084171596627</c:v>
                </c:pt>
                <c:pt idx="4">
                  <c:v>2.772631819138152</c:v>
                </c:pt>
                <c:pt idx="5">
                  <c:v>3.4332259250933985</c:v>
                </c:pt>
                <c:pt idx="6">
                  <c:v>4.4903357618560849</c:v>
                </c:pt>
                <c:pt idx="7">
                  <c:v>5.2839100162480577</c:v>
                </c:pt>
                <c:pt idx="8">
                  <c:v>6.5054754476506753</c:v>
                </c:pt>
                <c:pt idx="9">
                  <c:v>7.3289682705386685</c:v>
                </c:pt>
                <c:pt idx="10">
                  <c:v>7.927718386600505</c:v>
                </c:pt>
              </c:numCache>
            </c:numRef>
          </c:yVal>
          <c:smooth val="0"/>
          <c:extLst xmlns:c16r2="http://schemas.microsoft.com/office/drawing/2015/06/chart">
            <c:ext xmlns:c16="http://schemas.microsoft.com/office/drawing/2014/chart" uri="{C3380CC4-5D6E-409C-BE32-E72D297353CC}">
              <c16:uniqueId val="{00000005-C5EF-4141-A311-7E3B2946BD5C}"/>
            </c:ext>
          </c:extLst>
        </c:ser>
        <c:dLbls>
          <c:showLegendKey val="0"/>
          <c:showVal val="0"/>
          <c:showCatName val="0"/>
          <c:showSerName val="0"/>
          <c:showPercent val="0"/>
          <c:showBubbleSize val="0"/>
        </c:dLbls>
        <c:axId val="465151488"/>
        <c:axId val="465153408"/>
      </c:scatterChart>
      <c:scatterChart>
        <c:scatterStyle val="smoothMarker"/>
        <c:varyColors val="0"/>
        <c:ser>
          <c:idx val="6"/>
          <c:order val="6"/>
          <c:tx>
            <c:v>CDM750 Freundlich</c:v>
          </c:tx>
          <c:spPr>
            <a:ln w="9525">
              <a:solidFill>
                <a:schemeClr val="bg1">
                  <a:lumMod val="65000"/>
                </a:schemeClr>
              </a:solidFill>
              <a:prstDash val="sysDot"/>
            </a:ln>
          </c:spPr>
          <c:marker>
            <c:symbol val="none"/>
          </c:marker>
          <c:xVal>
            <c:numRef>
              <c:f>MINITAB!$G$30:$G$40</c:f>
              <c:numCache>
                <c:formatCode>General</c:formatCode>
                <c:ptCount val="11"/>
                <c:pt idx="0">
                  <c:v>1.7999999999999999E-2</c:v>
                </c:pt>
                <c:pt idx="1">
                  <c:v>3.4000000000000002E-2</c:v>
                </c:pt>
                <c:pt idx="2">
                  <c:v>5.8000000000000003E-2</c:v>
                </c:pt>
                <c:pt idx="3">
                  <c:v>8.3000000000000004E-2</c:v>
                </c:pt>
                <c:pt idx="4">
                  <c:v>0.125</c:v>
                </c:pt>
                <c:pt idx="5">
                  <c:v>0.16700000000000001</c:v>
                </c:pt>
                <c:pt idx="6">
                  <c:v>0.25</c:v>
                </c:pt>
                <c:pt idx="7">
                  <c:v>0.33</c:v>
                </c:pt>
                <c:pt idx="8">
                  <c:v>0.5</c:v>
                </c:pt>
                <c:pt idx="9">
                  <c:v>0.66700000000000004</c:v>
                </c:pt>
                <c:pt idx="10">
                  <c:v>0.83299999999999996</c:v>
                </c:pt>
              </c:numCache>
            </c:numRef>
          </c:xVal>
          <c:yVal>
            <c:numRef>
              <c:f>MINITAB!$J$30:$J$40</c:f>
              <c:numCache>
                <c:formatCode>0.00</c:formatCode>
                <c:ptCount val="11"/>
                <c:pt idx="0">
                  <c:v>2.7403826466709034</c:v>
                </c:pt>
                <c:pt idx="1">
                  <c:v>3.7944254949195328</c:v>
                </c:pt>
                <c:pt idx="2">
                  <c:v>4.986942630562007</c:v>
                </c:pt>
                <c:pt idx="3">
                  <c:v>5.9907407757061772</c:v>
                </c:pt>
                <c:pt idx="4">
                  <c:v>7.3871534667756729</c:v>
                </c:pt>
                <c:pt idx="5">
                  <c:v>8.567463958751766</c:v>
                </c:pt>
                <c:pt idx="6">
                  <c:v>10.532080509441187</c:v>
                </c:pt>
                <c:pt idx="7">
                  <c:v>12.139808916202311</c:v>
                </c:pt>
                <c:pt idx="8">
                  <c:v>15.015894871582665</c:v>
                </c:pt>
                <c:pt idx="9">
                  <c:v>17.401771314075592</c:v>
                </c:pt>
                <c:pt idx="10">
                  <c:v>19.497652016321894</c:v>
                </c:pt>
              </c:numCache>
            </c:numRef>
          </c:yVal>
          <c:smooth val="1"/>
          <c:extLst xmlns:c16r2="http://schemas.microsoft.com/office/drawing/2015/06/chart">
            <c:ext xmlns:c16="http://schemas.microsoft.com/office/drawing/2014/chart" uri="{C3380CC4-5D6E-409C-BE32-E72D297353CC}">
              <c16:uniqueId val="{00000003-68E7-4EAE-B620-BD34F0DF7D71}"/>
            </c:ext>
          </c:extLst>
        </c:ser>
        <c:ser>
          <c:idx val="7"/>
          <c:order val="7"/>
          <c:tx>
            <c:v>CDM550 (Freundlich)</c:v>
          </c:tx>
          <c:spPr>
            <a:ln w="9525">
              <a:prstDash val="sysDot"/>
            </a:ln>
          </c:spPr>
          <c:marker>
            <c:symbol val="none"/>
          </c:marker>
          <c:xVal>
            <c:numRef>
              <c:f>MINITAB!$G$30:$G$40</c:f>
              <c:numCache>
                <c:formatCode>General</c:formatCode>
                <c:ptCount val="11"/>
                <c:pt idx="0">
                  <c:v>1.7999999999999999E-2</c:v>
                </c:pt>
                <c:pt idx="1">
                  <c:v>3.4000000000000002E-2</c:v>
                </c:pt>
                <c:pt idx="2">
                  <c:v>5.8000000000000003E-2</c:v>
                </c:pt>
                <c:pt idx="3">
                  <c:v>8.3000000000000004E-2</c:v>
                </c:pt>
                <c:pt idx="4">
                  <c:v>0.125</c:v>
                </c:pt>
                <c:pt idx="5">
                  <c:v>0.16700000000000001</c:v>
                </c:pt>
                <c:pt idx="6">
                  <c:v>0.25</c:v>
                </c:pt>
                <c:pt idx="7">
                  <c:v>0.33</c:v>
                </c:pt>
                <c:pt idx="8">
                  <c:v>0.5</c:v>
                </c:pt>
                <c:pt idx="9">
                  <c:v>0.66700000000000004</c:v>
                </c:pt>
                <c:pt idx="10">
                  <c:v>0.83299999999999996</c:v>
                </c:pt>
              </c:numCache>
            </c:numRef>
          </c:xVal>
          <c:yVal>
            <c:numRef>
              <c:f>MINITAB!$I$30:$I$40</c:f>
              <c:numCache>
                <c:formatCode>0.00</c:formatCode>
                <c:ptCount val="11"/>
                <c:pt idx="0">
                  <c:v>2.6727057703720636</c:v>
                </c:pt>
                <c:pt idx="1">
                  <c:v>3.6476745805539914</c:v>
                </c:pt>
                <c:pt idx="2">
                  <c:v>4.7362998048212255</c:v>
                </c:pt>
                <c:pt idx="3">
                  <c:v>5.643546184351286</c:v>
                </c:pt>
                <c:pt idx="4">
                  <c:v>6.8946447311730568</c:v>
                </c:pt>
                <c:pt idx="5">
                  <c:v>7.9438539456017283</c:v>
                </c:pt>
                <c:pt idx="6">
                  <c:v>9.6764389412856637</c:v>
                </c:pt>
                <c:pt idx="7">
                  <c:v>11.083481811108216</c:v>
                </c:pt>
                <c:pt idx="8">
                  <c:v>13.580608462837912</c:v>
                </c:pt>
                <c:pt idx="9">
                  <c:v>15.635811608065502</c:v>
                </c:pt>
                <c:pt idx="10">
                  <c:v>17.430839419232264</c:v>
                </c:pt>
              </c:numCache>
            </c:numRef>
          </c:yVal>
          <c:smooth val="1"/>
          <c:extLst xmlns:c16r2="http://schemas.microsoft.com/office/drawing/2015/06/chart">
            <c:ext xmlns:c16="http://schemas.microsoft.com/office/drawing/2014/chart" uri="{C3380CC4-5D6E-409C-BE32-E72D297353CC}">
              <c16:uniqueId val="{00000004-68E7-4EAE-B620-BD34F0DF7D71}"/>
            </c:ext>
          </c:extLst>
        </c:ser>
        <c:ser>
          <c:idx val="8"/>
          <c:order val="8"/>
          <c:tx>
            <c:v>CDM350 (Freundlich)</c:v>
          </c:tx>
          <c:spPr>
            <a:ln w="9525">
              <a:solidFill>
                <a:schemeClr val="accent1"/>
              </a:solidFill>
              <a:prstDash val="sysDot"/>
            </a:ln>
          </c:spPr>
          <c:marker>
            <c:symbol val="none"/>
          </c:marker>
          <c:xVal>
            <c:numRef>
              <c:f>MINITAB!$G$30:$G$40</c:f>
              <c:numCache>
                <c:formatCode>General</c:formatCode>
                <c:ptCount val="11"/>
                <c:pt idx="0">
                  <c:v>1.7999999999999999E-2</c:v>
                </c:pt>
                <c:pt idx="1">
                  <c:v>3.4000000000000002E-2</c:v>
                </c:pt>
                <c:pt idx="2">
                  <c:v>5.8000000000000003E-2</c:v>
                </c:pt>
                <c:pt idx="3">
                  <c:v>8.3000000000000004E-2</c:v>
                </c:pt>
                <c:pt idx="4">
                  <c:v>0.125</c:v>
                </c:pt>
                <c:pt idx="5">
                  <c:v>0.16700000000000001</c:v>
                </c:pt>
                <c:pt idx="6">
                  <c:v>0.25</c:v>
                </c:pt>
                <c:pt idx="7">
                  <c:v>0.33</c:v>
                </c:pt>
                <c:pt idx="8">
                  <c:v>0.5</c:v>
                </c:pt>
                <c:pt idx="9">
                  <c:v>0.66700000000000004</c:v>
                </c:pt>
                <c:pt idx="10">
                  <c:v>0.83299999999999996</c:v>
                </c:pt>
              </c:numCache>
            </c:numRef>
          </c:xVal>
          <c:yVal>
            <c:numRef>
              <c:f>MINITAB!$H$30:$H$40</c:f>
              <c:numCache>
                <c:formatCode>0.00</c:formatCode>
                <c:ptCount val="11"/>
                <c:pt idx="0">
                  <c:v>0.93968784651143911</c:v>
                </c:pt>
                <c:pt idx="1">
                  <c:v>1.3496967633909152</c:v>
                </c:pt>
                <c:pt idx="2">
                  <c:v>1.8293288102543028</c:v>
                </c:pt>
                <c:pt idx="3">
                  <c:v>2.2434068671414802</c:v>
                </c:pt>
                <c:pt idx="4">
                  <c:v>2.8323902602208797</c:v>
                </c:pt>
                <c:pt idx="5">
                  <c:v>3.3402462347579691</c:v>
                </c:pt>
                <c:pt idx="6">
                  <c:v>4.202797833723741</c:v>
                </c:pt>
                <c:pt idx="7">
                  <c:v>4.9224901523628644</c:v>
                </c:pt>
                <c:pt idx="8">
                  <c:v>6.2362556033417205</c:v>
                </c:pt>
                <c:pt idx="9">
                  <c:v>7.3481645934991899</c:v>
                </c:pt>
                <c:pt idx="10">
                  <c:v>8.3393102867819859</c:v>
                </c:pt>
              </c:numCache>
            </c:numRef>
          </c:yVal>
          <c:smooth val="1"/>
          <c:extLst xmlns:c16r2="http://schemas.microsoft.com/office/drawing/2015/06/chart">
            <c:ext xmlns:c16="http://schemas.microsoft.com/office/drawing/2014/chart" uri="{C3380CC4-5D6E-409C-BE32-E72D297353CC}">
              <c16:uniqueId val="{00000005-68E7-4EAE-B620-BD34F0DF7D71}"/>
            </c:ext>
          </c:extLst>
        </c:ser>
        <c:dLbls>
          <c:showLegendKey val="0"/>
          <c:showVal val="0"/>
          <c:showCatName val="0"/>
          <c:showSerName val="0"/>
          <c:showPercent val="0"/>
          <c:showBubbleSize val="0"/>
        </c:dLbls>
        <c:axId val="465151488"/>
        <c:axId val="465153408"/>
      </c:scatterChart>
      <c:valAx>
        <c:axId val="465151488"/>
        <c:scaling>
          <c:orientation val="minMax"/>
          <c:max val="1"/>
          <c:min val="0"/>
        </c:scaling>
        <c:delete val="0"/>
        <c:axPos val="b"/>
        <c:title>
          <c:tx>
            <c:rich>
              <a:bodyPr/>
              <a:lstStyle/>
              <a:p>
                <a:pPr>
                  <a:defRPr sz="1000"/>
                </a:pPr>
                <a:r>
                  <a:rPr lang="es-ES" sz="1000" baseline="0"/>
                  <a:t>P</a:t>
                </a:r>
                <a:r>
                  <a:rPr lang="es-ES" sz="1000" baseline="-25000"/>
                  <a:t>CO2 </a:t>
                </a:r>
                <a:r>
                  <a:rPr lang="es-ES" sz="1000" baseline="0"/>
                  <a:t>(atm) </a:t>
                </a:r>
                <a:r>
                  <a:rPr lang="es-ES" sz="1000"/>
                  <a:t> </a:t>
                </a:r>
              </a:p>
            </c:rich>
          </c:tx>
          <c:layout>
            <c:manualLayout>
              <c:xMode val="edge"/>
              <c:yMode val="edge"/>
              <c:x val="0.44828721409823774"/>
              <c:y val="0.91739460038611986"/>
            </c:manualLayout>
          </c:layout>
          <c:overlay val="0"/>
        </c:title>
        <c:numFmt formatCode="General" sourceLinked="1"/>
        <c:majorTickMark val="out"/>
        <c:minorTickMark val="none"/>
        <c:tickLblPos val="nextTo"/>
        <c:txPr>
          <a:bodyPr/>
          <a:lstStyle/>
          <a:p>
            <a:pPr>
              <a:defRPr sz="1000"/>
            </a:pPr>
            <a:endParaRPr lang="es-ES"/>
          </a:p>
        </c:txPr>
        <c:crossAx val="465153408"/>
        <c:crosses val="autoZero"/>
        <c:crossBetween val="midCat"/>
        <c:majorUnit val="0.2"/>
      </c:valAx>
      <c:valAx>
        <c:axId val="465153408"/>
        <c:scaling>
          <c:orientation val="minMax"/>
          <c:max val="45"/>
        </c:scaling>
        <c:delete val="0"/>
        <c:axPos val="l"/>
        <c:majorGridlines>
          <c:spPr>
            <a:ln>
              <a:solidFill>
                <a:schemeClr val="bg1">
                  <a:lumMod val="75000"/>
                </a:schemeClr>
              </a:solidFill>
              <a:prstDash val="sysDot"/>
            </a:ln>
          </c:spPr>
        </c:majorGridlines>
        <c:title>
          <c:tx>
            <c:rich>
              <a:bodyPr/>
              <a:lstStyle/>
              <a:p>
                <a:pPr>
                  <a:defRPr sz="1000"/>
                </a:pPr>
                <a:r>
                  <a:rPr lang="es-ES" sz="1000"/>
                  <a:t>mg CO</a:t>
                </a:r>
                <a:r>
                  <a:rPr lang="es-ES" sz="1000" baseline="-25000"/>
                  <a:t>2</a:t>
                </a:r>
                <a:r>
                  <a:rPr lang="es-ES" sz="1000"/>
                  <a:t> adsorbed/g char</a:t>
                </a:r>
              </a:p>
            </c:rich>
          </c:tx>
          <c:layout>
            <c:manualLayout>
              <c:xMode val="edge"/>
              <c:yMode val="edge"/>
              <c:x val="5.6148271568443034E-3"/>
              <c:y val="0.21711246170274343"/>
            </c:manualLayout>
          </c:layout>
          <c:overlay val="0"/>
        </c:title>
        <c:numFmt formatCode="General" sourceLinked="1"/>
        <c:majorTickMark val="out"/>
        <c:minorTickMark val="none"/>
        <c:tickLblPos val="nextTo"/>
        <c:txPr>
          <a:bodyPr/>
          <a:lstStyle/>
          <a:p>
            <a:pPr>
              <a:defRPr sz="1000"/>
            </a:pPr>
            <a:endParaRPr lang="es-ES"/>
          </a:p>
        </c:txPr>
        <c:crossAx val="465151488"/>
        <c:crosses val="autoZero"/>
        <c:crossBetween val="midCat"/>
      </c:valAx>
    </c:plotArea>
    <c:legend>
      <c:legendPos val="r"/>
      <c:legendEntry>
        <c:idx val="1"/>
        <c:delete val="1"/>
      </c:legendEntry>
      <c:legendEntry>
        <c:idx val="3"/>
        <c:delete val="1"/>
      </c:legendEntry>
      <c:legendEntry>
        <c:idx val="5"/>
        <c:delete val="1"/>
      </c:legendEntry>
      <c:legendEntry>
        <c:idx val="6"/>
        <c:delete val="1"/>
      </c:legendEntry>
      <c:legendEntry>
        <c:idx val="7"/>
        <c:delete val="1"/>
      </c:legendEntry>
      <c:legendEntry>
        <c:idx val="8"/>
        <c:delete val="1"/>
      </c:legendEntry>
      <c:layout>
        <c:manualLayout>
          <c:xMode val="edge"/>
          <c:yMode val="edge"/>
          <c:x val="9.5238095238095247E-3"/>
          <c:y val="3.8450264320297575E-3"/>
          <c:w val="0.98402437195350601"/>
          <c:h val="0.2285053521069815"/>
        </c:manualLayout>
      </c:layout>
      <c:overlay val="0"/>
      <c:txPr>
        <a:bodyPr/>
        <a:lstStyle/>
        <a:p>
          <a:pPr>
            <a:defRPr sz="900"/>
          </a:pPr>
          <a:endParaRPr lang="es-ES"/>
        </a:p>
      </c:txPr>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588007888165853"/>
          <c:y val="0.19093676434775553"/>
          <c:w val="0.73593221866019565"/>
          <c:h val="0.61647536326000485"/>
        </c:manualLayout>
      </c:layout>
      <c:scatterChart>
        <c:scatterStyle val="lineMarker"/>
        <c:varyColors val="0"/>
        <c:ser>
          <c:idx val="2"/>
          <c:order val="0"/>
          <c:tx>
            <c:strRef>
              <c:f>Comparison!$E$7</c:f>
              <c:strCache>
                <c:ptCount val="1"/>
                <c:pt idx="0">
                  <c:v>MBM750 </c:v>
                </c:pt>
              </c:strCache>
            </c:strRef>
          </c:tx>
          <c:spPr>
            <a:ln w="25400">
              <a:noFill/>
            </a:ln>
          </c:spPr>
          <c:marker>
            <c:symbol val="circle"/>
            <c:size val="3"/>
          </c:marker>
          <c:xVal>
            <c:numRef>
              <c:f>Comparison!$B$8:$B$10</c:f>
              <c:numCache>
                <c:formatCode>General</c:formatCode>
                <c:ptCount val="3"/>
                <c:pt idx="0">
                  <c:v>0.83299999999999996</c:v>
                </c:pt>
                <c:pt idx="1">
                  <c:v>0.5</c:v>
                </c:pt>
                <c:pt idx="2">
                  <c:v>0.16700000000000001</c:v>
                </c:pt>
              </c:numCache>
            </c:numRef>
          </c:xVal>
          <c:yVal>
            <c:numRef>
              <c:f>Comparison!$E$8:$E$10</c:f>
              <c:numCache>
                <c:formatCode>General</c:formatCode>
                <c:ptCount val="3"/>
                <c:pt idx="0">
                  <c:v>21.122100000000046</c:v>
                </c:pt>
                <c:pt idx="1">
                  <c:v>13.532399999999994</c:v>
                </c:pt>
                <c:pt idx="2">
                  <c:v>8.757000000000092</c:v>
                </c:pt>
              </c:numCache>
            </c:numRef>
          </c:yVal>
          <c:smooth val="0"/>
          <c:extLst xmlns:c16r2="http://schemas.microsoft.com/office/drawing/2015/06/chart">
            <c:ext xmlns:c16="http://schemas.microsoft.com/office/drawing/2014/chart" uri="{C3380CC4-5D6E-409C-BE32-E72D297353CC}">
              <c16:uniqueId val="{00000000-EEC5-42D5-9328-4C3ECF11FA10}"/>
            </c:ext>
          </c:extLst>
        </c:ser>
        <c:ser>
          <c:idx val="5"/>
          <c:order val="1"/>
          <c:tx>
            <c:v>MBM750 (Langmuir)</c:v>
          </c:tx>
          <c:spPr>
            <a:ln w="6350">
              <a:solidFill>
                <a:schemeClr val="bg1">
                  <a:lumMod val="65000"/>
                </a:schemeClr>
              </a:solidFill>
            </a:ln>
          </c:spPr>
          <c:marker>
            <c:symbol val="none"/>
          </c:marker>
          <c:xVal>
            <c:numRef>
              <c:f>Comparison!$V$8:$V$10</c:f>
              <c:numCache>
                <c:formatCode>General</c:formatCode>
                <c:ptCount val="3"/>
                <c:pt idx="0">
                  <c:v>0.83299999999999996</c:v>
                </c:pt>
                <c:pt idx="1">
                  <c:v>0.5</c:v>
                </c:pt>
                <c:pt idx="2">
                  <c:v>0.16700000000000001</c:v>
                </c:pt>
              </c:numCache>
            </c:numRef>
          </c:xVal>
          <c:yVal>
            <c:numRef>
              <c:f>Comparison!$Y$8:$Y$10</c:f>
              <c:numCache>
                <c:formatCode>0.00</c:formatCode>
                <c:ptCount val="3"/>
                <c:pt idx="0">
                  <c:v>18.251802880441243</c:v>
                </c:pt>
                <c:pt idx="1">
                  <c:v>15.394325651564833</c:v>
                </c:pt>
                <c:pt idx="2">
                  <c:v>8.6440386439252883</c:v>
                </c:pt>
              </c:numCache>
            </c:numRef>
          </c:yVal>
          <c:smooth val="0"/>
          <c:extLst xmlns:c16r2="http://schemas.microsoft.com/office/drawing/2015/06/chart">
            <c:ext xmlns:c16="http://schemas.microsoft.com/office/drawing/2014/chart" uri="{C3380CC4-5D6E-409C-BE32-E72D297353CC}">
              <c16:uniqueId val="{00000001-EEC5-42D5-9328-4C3ECF11FA10}"/>
            </c:ext>
          </c:extLst>
        </c:ser>
        <c:ser>
          <c:idx val="1"/>
          <c:order val="2"/>
          <c:tx>
            <c:strRef>
              <c:f>Comparison!$D$7</c:f>
              <c:strCache>
                <c:ptCount val="1"/>
                <c:pt idx="0">
                  <c:v>MBM550 </c:v>
                </c:pt>
              </c:strCache>
            </c:strRef>
          </c:tx>
          <c:spPr>
            <a:ln w="25400">
              <a:noFill/>
            </a:ln>
          </c:spPr>
          <c:marker>
            <c:symbol val="square"/>
            <c:size val="3"/>
          </c:marker>
          <c:xVal>
            <c:numRef>
              <c:f>Comparison!$B$8:$B$10</c:f>
              <c:numCache>
                <c:formatCode>General</c:formatCode>
                <c:ptCount val="3"/>
                <c:pt idx="0">
                  <c:v>0.83299999999999996</c:v>
                </c:pt>
                <c:pt idx="1">
                  <c:v>0.5</c:v>
                </c:pt>
                <c:pt idx="2">
                  <c:v>0.16700000000000001</c:v>
                </c:pt>
              </c:numCache>
            </c:numRef>
          </c:xVal>
          <c:yVal>
            <c:numRef>
              <c:f>Comparison!$D$8:$D$10</c:f>
              <c:numCache>
                <c:formatCode>General</c:formatCode>
                <c:ptCount val="3"/>
                <c:pt idx="0">
                  <c:v>26.836699999999922</c:v>
                </c:pt>
                <c:pt idx="1">
                  <c:v>19.226500000000044</c:v>
                </c:pt>
                <c:pt idx="2">
                  <c:v>12.863400000000098</c:v>
                </c:pt>
              </c:numCache>
            </c:numRef>
          </c:yVal>
          <c:smooth val="0"/>
          <c:extLst xmlns:c16r2="http://schemas.microsoft.com/office/drawing/2015/06/chart">
            <c:ext xmlns:c16="http://schemas.microsoft.com/office/drawing/2014/chart" uri="{C3380CC4-5D6E-409C-BE32-E72D297353CC}">
              <c16:uniqueId val="{00000002-EEC5-42D5-9328-4C3ECF11FA10}"/>
            </c:ext>
          </c:extLst>
        </c:ser>
        <c:ser>
          <c:idx val="4"/>
          <c:order val="3"/>
          <c:tx>
            <c:v>MBM550 (Langmuir)</c:v>
          </c:tx>
          <c:spPr>
            <a:ln w="6350">
              <a:solidFill>
                <a:schemeClr val="accent2"/>
              </a:solidFill>
            </a:ln>
          </c:spPr>
          <c:marker>
            <c:symbol val="none"/>
          </c:marker>
          <c:xVal>
            <c:numRef>
              <c:f>Comparison!$V$8:$V$10</c:f>
              <c:numCache>
                <c:formatCode>General</c:formatCode>
                <c:ptCount val="3"/>
                <c:pt idx="0">
                  <c:v>0.83299999999999996</c:v>
                </c:pt>
                <c:pt idx="1">
                  <c:v>0.5</c:v>
                </c:pt>
                <c:pt idx="2">
                  <c:v>0.16700000000000001</c:v>
                </c:pt>
              </c:numCache>
            </c:numRef>
          </c:xVal>
          <c:yVal>
            <c:numRef>
              <c:f>Comparison!$X$8:$X$10</c:f>
              <c:numCache>
                <c:formatCode>0.00</c:formatCode>
                <c:ptCount val="3"/>
                <c:pt idx="0">
                  <c:v>24.314601875832132</c:v>
                </c:pt>
                <c:pt idx="1">
                  <c:v>21.109961790969159</c:v>
                </c:pt>
                <c:pt idx="2">
                  <c:v>12.736666521504262</c:v>
                </c:pt>
              </c:numCache>
            </c:numRef>
          </c:yVal>
          <c:smooth val="0"/>
          <c:extLst xmlns:c16r2="http://schemas.microsoft.com/office/drawing/2015/06/chart">
            <c:ext xmlns:c16="http://schemas.microsoft.com/office/drawing/2014/chart" uri="{C3380CC4-5D6E-409C-BE32-E72D297353CC}">
              <c16:uniqueId val="{00000003-EEC5-42D5-9328-4C3ECF11FA10}"/>
            </c:ext>
          </c:extLst>
        </c:ser>
        <c:ser>
          <c:idx val="0"/>
          <c:order val="4"/>
          <c:tx>
            <c:strRef>
              <c:f>Comparison!$C$7</c:f>
              <c:strCache>
                <c:ptCount val="1"/>
                <c:pt idx="0">
                  <c:v>MBM350 </c:v>
                </c:pt>
              </c:strCache>
            </c:strRef>
          </c:tx>
          <c:spPr>
            <a:ln w="25400">
              <a:noFill/>
            </a:ln>
          </c:spPr>
          <c:marker>
            <c:symbol val="diamond"/>
            <c:size val="3"/>
            <c:spPr>
              <a:solidFill>
                <a:schemeClr val="accent1"/>
              </a:solidFill>
            </c:spPr>
          </c:marker>
          <c:xVal>
            <c:numRef>
              <c:f>Comparison!$B$8:$B$10</c:f>
              <c:numCache>
                <c:formatCode>General</c:formatCode>
                <c:ptCount val="3"/>
                <c:pt idx="0">
                  <c:v>0.83299999999999996</c:v>
                </c:pt>
                <c:pt idx="1">
                  <c:v>0.5</c:v>
                </c:pt>
                <c:pt idx="2">
                  <c:v>0.16700000000000001</c:v>
                </c:pt>
              </c:numCache>
            </c:numRef>
          </c:xVal>
          <c:yVal>
            <c:numRef>
              <c:f>Comparison!$C$8:$C$10</c:f>
              <c:numCache>
                <c:formatCode>General</c:formatCode>
                <c:ptCount val="3"/>
                <c:pt idx="0">
                  <c:v>5.8307999999999538</c:v>
                </c:pt>
                <c:pt idx="1">
                  <c:v>4.1679000000000599</c:v>
                </c:pt>
                <c:pt idx="2">
                  <c:v>2.8491999999999962</c:v>
                </c:pt>
              </c:numCache>
            </c:numRef>
          </c:yVal>
          <c:smooth val="0"/>
          <c:extLst xmlns:c16r2="http://schemas.microsoft.com/office/drawing/2015/06/chart">
            <c:ext xmlns:c16="http://schemas.microsoft.com/office/drawing/2014/chart" uri="{C3380CC4-5D6E-409C-BE32-E72D297353CC}">
              <c16:uniqueId val="{00000004-EEC5-42D5-9328-4C3ECF11FA10}"/>
            </c:ext>
          </c:extLst>
        </c:ser>
        <c:ser>
          <c:idx val="3"/>
          <c:order val="5"/>
          <c:tx>
            <c:v>MBM350 (Langmuir)</c:v>
          </c:tx>
          <c:spPr>
            <a:ln w="6350">
              <a:solidFill>
                <a:schemeClr val="accent1"/>
              </a:solidFill>
            </a:ln>
          </c:spPr>
          <c:marker>
            <c:symbol val="none"/>
          </c:marker>
          <c:xVal>
            <c:numRef>
              <c:f>Comparison!$V$8:$V$10</c:f>
              <c:numCache>
                <c:formatCode>General</c:formatCode>
                <c:ptCount val="3"/>
                <c:pt idx="0">
                  <c:v>0.83299999999999996</c:v>
                </c:pt>
                <c:pt idx="1">
                  <c:v>0.5</c:v>
                </c:pt>
                <c:pt idx="2">
                  <c:v>0.16700000000000001</c:v>
                </c:pt>
              </c:numCache>
            </c:numRef>
          </c:xVal>
          <c:yVal>
            <c:numRef>
              <c:f>Comparison!$W$8:$W$10</c:f>
              <c:numCache>
                <c:formatCode>0.00</c:formatCode>
                <c:ptCount val="3"/>
                <c:pt idx="0">
                  <c:v>5.2601759429711556</c:v>
                </c:pt>
                <c:pt idx="1">
                  <c:v>4.5956727145719585</c:v>
                </c:pt>
                <c:pt idx="2">
                  <c:v>2.8192183175316989</c:v>
                </c:pt>
              </c:numCache>
            </c:numRef>
          </c:yVal>
          <c:smooth val="0"/>
          <c:extLst xmlns:c16r2="http://schemas.microsoft.com/office/drawing/2015/06/chart">
            <c:ext xmlns:c16="http://schemas.microsoft.com/office/drawing/2014/chart" uri="{C3380CC4-5D6E-409C-BE32-E72D297353CC}">
              <c16:uniqueId val="{00000005-EEC5-42D5-9328-4C3ECF11FA10}"/>
            </c:ext>
          </c:extLst>
        </c:ser>
        <c:dLbls>
          <c:showLegendKey val="0"/>
          <c:showVal val="0"/>
          <c:showCatName val="0"/>
          <c:showSerName val="0"/>
          <c:showPercent val="0"/>
          <c:showBubbleSize val="0"/>
        </c:dLbls>
        <c:axId val="465323520"/>
        <c:axId val="465325440"/>
      </c:scatterChart>
      <c:scatterChart>
        <c:scatterStyle val="smoothMarker"/>
        <c:varyColors val="0"/>
        <c:ser>
          <c:idx val="6"/>
          <c:order val="6"/>
          <c:tx>
            <c:v>MBM750 (Freundlich)</c:v>
          </c:tx>
          <c:spPr>
            <a:ln w="9525">
              <a:solidFill>
                <a:schemeClr val="bg1">
                  <a:lumMod val="65000"/>
                </a:schemeClr>
              </a:solidFill>
              <a:prstDash val="sysDot"/>
            </a:ln>
          </c:spPr>
          <c:marker>
            <c:symbol val="none"/>
          </c:marker>
          <c:xVal>
            <c:numRef>
              <c:f>Comparison!$V$42:$V$44</c:f>
              <c:numCache>
                <c:formatCode>General</c:formatCode>
                <c:ptCount val="3"/>
                <c:pt idx="0">
                  <c:v>0.83299999999999996</c:v>
                </c:pt>
                <c:pt idx="1">
                  <c:v>0.5</c:v>
                </c:pt>
                <c:pt idx="2">
                  <c:v>0.16700000000000001</c:v>
                </c:pt>
              </c:numCache>
            </c:numRef>
          </c:xVal>
          <c:yVal>
            <c:numRef>
              <c:f>Comparison!$Y$42:$Y$44</c:f>
              <c:numCache>
                <c:formatCode>0.00</c:formatCode>
                <c:ptCount val="3"/>
                <c:pt idx="0">
                  <c:v>19.652269437413008</c:v>
                </c:pt>
                <c:pt idx="1">
                  <c:v>15.041092966589382</c:v>
                </c:pt>
                <c:pt idx="2">
                  <c:v>8.4678846239827887</c:v>
                </c:pt>
              </c:numCache>
            </c:numRef>
          </c:yVal>
          <c:smooth val="1"/>
          <c:extLst xmlns:c16r2="http://schemas.microsoft.com/office/drawing/2015/06/chart">
            <c:ext xmlns:c16="http://schemas.microsoft.com/office/drawing/2014/chart" uri="{C3380CC4-5D6E-409C-BE32-E72D297353CC}">
              <c16:uniqueId val="{00000006-EEC5-42D5-9328-4C3ECF11FA10}"/>
            </c:ext>
          </c:extLst>
        </c:ser>
        <c:ser>
          <c:idx val="7"/>
          <c:order val="7"/>
          <c:tx>
            <c:v>MBM550 (Freundlich)</c:v>
          </c:tx>
          <c:spPr>
            <a:ln w="9525">
              <a:prstDash val="sysDot"/>
            </a:ln>
          </c:spPr>
          <c:marker>
            <c:symbol val="none"/>
          </c:marker>
          <c:xVal>
            <c:numRef>
              <c:f>Comparison!$V$42:$V$44</c:f>
              <c:numCache>
                <c:formatCode>General</c:formatCode>
                <c:ptCount val="3"/>
                <c:pt idx="0">
                  <c:v>0.83299999999999996</c:v>
                </c:pt>
                <c:pt idx="1">
                  <c:v>0.5</c:v>
                </c:pt>
                <c:pt idx="2">
                  <c:v>0.16700000000000001</c:v>
                </c:pt>
              </c:numCache>
            </c:numRef>
          </c:xVal>
          <c:yVal>
            <c:numRef>
              <c:f>Comparison!$X$42:$X$44</c:f>
              <c:numCache>
                <c:formatCode>0.00</c:formatCode>
                <c:ptCount val="3"/>
                <c:pt idx="0">
                  <c:v>25.693823524859205</c:v>
                </c:pt>
                <c:pt idx="1">
                  <c:v>20.492681117673108</c:v>
                </c:pt>
                <c:pt idx="2">
                  <c:v>12.605453044542324</c:v>
                </c:pt>
              </c:numCache>
            </c:numRef>
          </c:yVal>
          <c:smooth val="1"/>
          <c:extLst xmlns:c16r2="http://schemas.microsoft.com/office/drawing/2015/06/chart">
            <c:ext xmlns:c16="http://schemas.microsoft.com/office/drawing/2014/chart" uri="{C3380CC4-5D6E-409C-BE32-E72D297353CC}">
              <c16:uniqueId val="{00000007-EEC5-42D5-9328-4C3ECF11FA10}"/>
            </c:ext>
          </c:extLst>
        </c:ser>
        <c:ser>
          <c:idx val="8"/>
          <c:order val="8"/>
          <c:tx>
            <c:v>MBM350 (Freundlich)</c:v>
          </c:tx>
          <c:spPr>
            <a:ln w="6350">
              <a:prstDash val="sysDot"/>
            </a:ln>
          </c:spPr>
          <c:marker>
            <c:symbol val="none"/>
          </c:marker>
          <c:xVal>
            <c:numRef>
              <c:f>Comparison!$V$42:$V$44</c:f>
              <c:numCache>
                <c:formatCode>General</c:formatCode>
                <c:ptCount val="3"/>
                <c:pt idx="0">
                  <c:v>0.83299999999999996</c:v>
                </c:pt>
                <c:pt idx="1">
                  <c:v>0.5</c:v>
                </c:pt>
                <c:pt idx="2">
                  <c:v>0.16700000000000001</c:v>
                </c:pt>
              </c:numCache>
            </c:numRef>
          </c:xVal>
          <c:yVal>
            <c:numRef>
              <c:f>Comparison!$X$42:$X$44</c:f>
              <c:numCache>
                <c:formatCode>0.00</c:formatCode>
                <c:ptCount val="3"/>
                <c:pt idx="0">
                  <c:v>25.693823524859205</c:v>
                </c:pt>
                <c:pt idx="1">
                  <c:v>20.492681117673108</c:v>
                </c:pt>
                <c:pt idx="2">
                  <c:v>12.605453044542324</c:v>
                </c:pt>
              </c:numCache>
            </c:numRef>
          </c:yVal>
          <c:smooth val="1"/>
          <c:extLst xmlns:c16r2="http://schemas.microsoft.com/office/drawing/2015/06/chart">
            <c:ext xmlns:c16="http://schemas.microsoft.com/office/drawing/2014/chart" uri="{C3380CC4-5D6E-409C-BE32-E72D297353CC}">
              <c16:uniqueId val="{00000008-EEC5-42D5-9328-4C3ECF11FA10}"/>
            </c:ext>
          </c:extLst>
        </c:ser>
        <c:ser>
          <c:idx val="9"/>
          <c:order val="9"/>
          <c:tx>
            <c:v>MBM350 (Freundlich)</c:v>
          </c:tx>
          <c:spPr>
            <a:ln w="9525">
              <a:solidFill>
                <a:schemeClr val="accent1"/>
              </a:solidFill>
              <a:prstDash val="sysDot"/>
            </a:ln>
          </c:spPr>
          <c:marker>
            <c:symbol val="none"/>
          </c:marker>
          <c:xVal>
            <c:numRef>
              <c:f>Comparison!$V$42:$V$44</c:f>
              <c:numCache>
                <c:formatCode>General</c:formatCode>
                <c:ptCount val="3"/>
                <c:pt idx="0">
                  <c:v>0.83299999999999996</c:v>
                </c:pt>
                <c:pt idx="1">
                  <c:v>0.5</c:v>
                </c:pt>
                <c:pt idx="2">
                  <c:v>0.16700000000000001</c:v>
                </c:pt>
              </c:numCache>
            </c:numRef>
          </c:xVal>
          <c:yVal>
            <c:numRef>
              <c:f>Comparison!$W$42:$W$44</c:f>
              <c:numCache>
                <c:formatCode>0.00</c:formatCode>
                <c:ptCount val="3"/>
                <c:pt idx="0">
                  <c:v>5.5621362054399812</c:v>
                </c:pt>
                <c:pt idx="1">
                  <c:v>4.4662073633116179</c:v>
                </c:pt>
                <c:pt idx="2">
                  <c:v>2.7873242164607066</c:v>
                </c:pt>
              </c:numCache>
            </c:numRef>
          </c:yVal>
          <c:smooth val="1"/>
          <c:extLst xmlns:c16r2="http://schemas.microsoft.com/office/drawing/2015/06/chart">
            <c:ext xmlns:c16="http://schemas.microsoft.com/office/drawing/2014/chart" uri="{C3380CC4-5D6E-409C-BE32-E72D297353CC}">
              <c16:uniqueId val="{00000009-EEC5-42D5-9328-4C3ECF11FA10}"/>
            </c:ext>
          </c:extLst>
        </c:ser>
        <c:dLbls>
          <c:showLegendKey val="0"/>
          <c:showVal val="0"/>
          <c:showCatName val="0"/>
          <c:showSerName val="0"/>
          <c:showPercent val="0"/>
          <c:showBubbleSize val="0"/>
        </c:dLbls>
        <c:axId val="465323520"/>
        <c:axId val="465325440"/>
      </c:scatterChart>
      <c:valAx>
        <c:axId val="465323520"/>
        <c:scaling>
          <c:orientation val="minMax"/>
          <c:max val="1"/>
          <c:min val="0"/>
        </c:scaling>
        <c:delete val="0"/>
        <c:axPos val="b"/>
        <c:title>
          <c:tx>
            <c:rich>
              <a:bodyPr/>
              <a:lstStyle/>
              <a:p>
                <a:pPr>
                  <a:defRPr sz="1000"/>
                </a:pPr>
                <a:r>
                  <a:rPr lang="es-ES" sz="1000"/>
                  <a:t>P</a:t>
                </a:r>
                <a:r>
                  <a:rPr lang="es-ES" sz="1000" baseline="-25000"/>
                  <a:t>CO2</a:t>
                </a:r>
                <a:r>
                  <a:rPr lang="es-ES" sz="1000" baseline="0"/>
                  <a:t> (atm)</a:t>
                </a:r>
                <a:r>
                  <a:rPr lang="es-ES" sz="1000"/>
                  <a:t> </a:t>
                </a:r>
              </a:p>
            </c:rich>
          </c:tx>
          <c:layout>
            <c:manualLayout>
              <c:xMode val="edge"/>
              <c:yMode val="edge"/>
              <c:x val="0.46257289511166055"/>
              <c:y val="0.9122597127830504"/>
            </c:manualLayout>
          </c:layout>
          <c:overlay val="0"/>
        </c:title>
        <c:numFmt formatCode="General" sourceLinked="1"/>
        <c:majorTickMark val="out"/>
        <c:minorTickMark val="none"/>
        <c:tickLblPos val="nextTo"/>
        <c:txPr>
          <a:bodyPr/>
          <a:lstStyle/>
          <a:p>
            <a:pPr>
              <a:defRPr sz="1000"/>
            </a:pPr>
            <a:endParaRPr lang="es-ES"/>
          </a:p>
        </c:txPr>
        <c:crossAx val="465325440"/>
        <c:crosses val="autoZero"/>
        <c:crossBetween val="midCat"/>
        <c:majorUnit val="0.2"/>
      </c:valAx>
      <c:valAx>
        <c:axId val="465325440"/>
        <c:scaling>
          <c:orientation val="minMax"/>
          <c:max val="45"/>
        </c:scaling>
        <c:delete val="0"/>
        <c:axPos val="l"/>
        <c:majorGridlines>
          <c:spPr>
            <a:ln>
              <a:solidFill>
                <a:schemeClr val="bg1">
                  <a:lumMod val="75000"/>
                </a:schemeClr>
              </a:solidFill>
              <a:prstDash val="sysDot"/>
            </a:ln>
          </c:spPr>
        </c:majorGridlines>
        <c:title>
          <c:tx>
            <c:rich>
              <a:bodyPr/>
              <a:lstStyle/>
              <a:p>
                <a:pPr>
                  <a:defRPr sz="1000"/>
                </a:pPr>
                <a:r>
                  <a:rPr lang="es-ES" sz="1000"/>
                  <a:t>mg CO</a:t>
                </a:r>
                <a:r>
                  <a:rPr lang="es-ES" sz="1000" baseline="-25000"/>
                  <a:t>2</a:t>
                </a:r>
                <a:r>
                  <a:rPr lang="es-ES" sz="1000"/>
                  <a:t> adsorbed/g char</a:t>
                </a:r>
              </a:p>
            </c:rich>
          </c:tx>
          <c:layout>
            <c:manualLayout>
              <c:xMode val="edge"/>
              <c:yMode val="edge"/>
              <c:x val="8.868040431116328E-4"/>
              <c:y val="0.23170630733014044"/>
            </c:manualLayout>
          </c:layout>
          <c:overlay val="0"/>
        </c:title>
        <c:numFmt formatCode="General" sourceLinked="1"/>
        <c:majorTickMark val="out"/>
        <c:minorTickMark val="none"/>
        <c:tickLblPos val="nextTo"/>
        <c:txPr>
          <a:bodyPr/>
          <a:lstStyle/>
          <a:p>
            <a:pPr>
              <a:defRPr sz="1000"/>
            </a:pPr>
            <a:endParaRPr lang="es-ES"/>
          </a:p>
        </c:txPr>
        <c:crossAx val="465323520"/>
        <c:crosses val="autoZero"/>
        <c:crossBetween val="midCat"/>
      </c:valAx>
    </c:plotArea>
    <c:legend>
      <c:legendPos val="r"/>
      <c:legendEntry>
        <c:idx val="1"/>
        <c:delete val="1"/>
      </c:legendEntry>
      <c:legendEntry>
        <c:idx val="3"/>
        <c:delete val="1"/>
      </c:legendEntry>
      <c:legendEntry>
        <c:idx val="5"/>
        <c:delete val="1"/>
      </c:legendEntry>
      <c:legendEntry>
        <c:idx val="6"/>
        <c:delete val="1"/>
      </c:legendEntry>
      <c:legendEntry>
        <c:idx val="7"/>
        <c:delete val="1"/>
      </c:legendEntry>
      <c:legendEntry>
        <c:idx val="8"/>
        <c:delete val="1"/>
      </c:legendEntry>
      <c:legendEntry>
        <c:idx val="9"/>
        <c:delete val="1"/>
      </c:legendEntry>
      <c:layout>
        <c:manualLayout>
          <c:xMode val="edge"/>
          <c:yMode val="edge"/>
          <c:x val="0"/>
          <c:y val="3.8448737722217722E-3"/>
          <c:w val="1"/>
          <c:h val="0.17848120789025082"/>
        </c:manualLayout>
      </c:layout>
      <c:overlay val="0"/>
      <c:txPr>
        <a:bodyPr/>
        <a:lstStyle/>
        <a:p>
          <a:pPr>
            <a:defRPr sz="900"/>
          </a:pPr>
          <a:endParaRPr lang="es-ES"/>
        </a:p>
      </c:txPr>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445914621497054"/>
          <c:y val="0.19623058029171259"/>
          <c:w val="0.73539194198663316"/>
          <c:h val="0.61118170883325074"/>
        </c:manualLayout>
      </c:layout>
      <c:scatterChart>
        <c:scatterStyle val="lineMarker"/>
        <c:varyColors val="0"/>
        <c:ser>
          <c:idx val="2"/>
          <c:order val="0"/>
          <c:tx>
            <c:strRef>
              <c:f>MINITAB!$E$13</c:f>
              <c:strCache>
                <c:ptCount val="1"/>
                <c:pt idx="0">
                  <c:v>C750 </c:v>
                </c:pt>
              </c:strCache>
            </c:strRef>
          </c:tx>
          <c:spPr>
            <a:ln w="25400">
              <a:noFill/>
            </a:ln>
          </c:spPr>
          <c:marker>
            <c:symbol val="circle"/>
            <c:size val="3"/>
          </c:marker>
          <c:xVal>
            <c:numRef>
              <c:f>MINITAB!$B$14:$B$25</c:f>
              <c:numCache>
                <c:formatCode>General</c:formatCode>
                <c:ptCount val="12"/>
                <c:pt idx="0">
                  <c:v>1.7999999999999999E-2</c:v>
                </c:pt>
                <c:pt idx="1">
                  <c:v>3.4000000000000002E-2</c:v>
                </c:pt>
                <c:pt idx="2">
                  <c:v>4.2000000000000003E-2</c:v>
                </c:pt>
                <c:pt idx="3">
                  <c:v>0.05</c:v>
                </c:pt>
                <c:pt idx="4">
                  <c:v>6.7000000000000004E-2</c:v>
                </c:pt>
                <c:pt idx="5">
                  <c:v>8.3000000000000004E-2</c:v>
                </c:pt>
                <c:pt idx="6">
                  <c:v>0.16700000000000001</c:v>
                </c:pt>
                <c:pt idx="7">
                  <c:v>0.25</c:v>
                </c:pt>
                <c:pt idx="8">
                  <c:v>0.33</c:v>
                </c:pt>
                <c:pt idx="9">
                  <c:v>0.5</c:v>
                </c:pt>
                <c:pt idx="10">
                  <c:v>0.66700000000000004</c:v>
                </c:pt>
                <c:pt idx="11">
                  <c:v>0.83299999999999996</c:v>
                </c:pt>
              </c:numCache>
            </c:numRef>
          </c:xVal>
          <c:yVal>
            <c:numRef>
              <c:f>MINITAB!$E$14:$E$25</c:f>
              <c:numCache>
                <c:formatCode>General</c:formatCode>
                <c:ptCount val="12"/>
                <c:pt idx="0">
                  <c:v>4.4453999999998928</c:v>
                </c:pt>
                <c:pt idx="1">
                  <c:v>8.6891999999998859</c:v>
                </c:pt>
                <c:pt idx="2">
                  <c:v>9.2619999999999436</c:v>
                </c:pt>
                <c:pt idx="3">
                  <c:v>12.33370000000008</c:v>
                </c:pt>
                <c:pt idx="4">
                  <c:v>12.650200000000069</c:v>
                </c:pt>
                <c:pt idx="5">
                  <c:v>16.656600000000029</c:v>
                </c:pt>
                <c:pt idx="6">
                  <c:v>20.720199999999949</c:v>
                </c:pt>
                <c:pt idx="7">
                  <c:v>24.229799999999955</c:v>
                </c:pt>
                <c:pt idx="8">
                  <c:v>27.848100000000073</c:v>
                </c:pt>
                <c:pt idx="9">
                  <c:v>34.595500000000072</c:v>
                </c:pt>
                <c:pt idx="10">
                  <c:v>35.400199999999984</c:v>
                </c:pt>
                <c:pt idx="11">
                  <c:v>41.034599999999983</c:v>
                </c:pt>
              </c:numCache>
            </c:numRef>
          </c:yVal>
          <c:smooth val="0"/>
          <c:extLst xmlns:c16r2="http://schemas.microsoft.com/office/drawing/2015/06/chart">
            <c:ext xmlns:c16="http://schemas.microsoft.com/office/drawing/2014/chart" uri="{C3380CC4-5D6E-409C-BE32-E72D297353CC}">
              <c16:uniqueId val="{00000000-DEB0-466D-966A-312382A28ED7}"/>
            </c:ext>
          </c:extLst>
        </c:ser>
        <c:ser>
          <c:idx val="5"/>
          <c:order val="1"/>
          <c:tx>
            <c:v>C750 (Langmuir)</c:v>
          </c:tx>
          <c:spPr>
            <a:ln w="6350">
              <a:solidFill>
                <a:schemeClr val="bg1">
                  <a:lumMod val="65000"/>
                </a:schemeClr>
              </a:solidFill>
            </a:ln>
          </c:spPr>
          <c:marker>
            <c:symbol val="none"/>
          </c:marker>
          <c:xVal>
            <c:numRef>
              <c:f>MINITAB!$G$14:$G$25</c:f>
              <c:numCache>
                <c:formatCode>General</c:formatCode>
                <c:ptCount val="12"/>
                <c:pt idx="0">
                  <c:v>1.7999999999999999E-2</c:v>
                </c:pt>
                <c:pt idx="1">
                  <c:v>3.4000000000000002E-2</c:v>
                </c:pt>
                <c:pt idx="2">
                  <c:v>4.2000000000000003E-2</c:v>
                </c:pt>
                <c:pt idx="3">
                  <c:v>0.05</c:v>
                </c:pt>
                <c:pt idx="4">
                  <c:v>6.7000000000000004E-2</c:v>
                </c:pt>
                <c:pt idx="5">
                  <c:v>8.3000000000000004E-2</c:v>
                </c:pt>
                <c:pt idx="6">
                  <c:v>0.16700000000000001</c:v>
                </c:pt>
                <c:pt idx="7">
                  <c:v>0.25</c:v>
                </c:pt>
                <c:pt idx="8">
                  <c:v>0.33</c:v>
                </c:pt>
                <c:pt idx="9">
                  <c:v>0.5</c:v>
                </c:pt>
                <c:pt idx="10">
                  <c:v>0.66700000000000004</c:v>
                </c:pt>
                <c:pt idx="11">
                  <c:v>0.83299999999999996</c:v>
                </c:pt>
              </c:numCache>
            </c:numRef>
          </c:xVal>
          <c:yVal>
            <c:numRef>
              <c:f>MINITAB!$J$14:$J$25</c:f>
              <c:numCache>
                <c:formatCode>0.00</c:formatCode>
                <c:ptCount val="12"/>
                <c:pt idx="0">
                  <c:v>4.2122093023255802</c:v>
                </c:pt>
                <c:pt idx="1">
                  <c:v>7.3575268817204309</c:v>
                </c:pt>
                <c:pt idx="2">
                  <c:v>8.7590673575129525</c:v>
                </c:pt>
                <c:pt idx="3">
                  <c:v>10.062499999999998</c:v>
                </c:pt>
                <c:pt idx="4">
                  <c:v>12.550319953461315</c:v>
                </c:pt>
                <c:pt idx="5">
                  <c:v>14.59639541234298</c:v>
                </c:pt>
                <c:pt idx="6">
                  <c:v>22.229847044233153</c:v>
                </c:pt>
                <c:pt idx="7">
                  <c:v>26.833333333333332</c:v>
                </c:pt>
                <c:pt idx="8">
                  <c:v>29.848314606741575</c:v>
                </c:pt>
                <c:pt idx="9">
                  <c:v>33.89473684210526</c:v>
                </c:pt>
                <c:pt idx="10">
                  <c:v>36.285521202905898</c:v>
                </c:pt>
                <c:pt idx="11">
                  <c:v>37.879678011580282</c:v>
                </c:pt>
              </c:numCache>
            </c:numRef>
          </c:yVal>
          <c:smooth val="0"/>
          <c:extLst xmlns:c16r2="http://schemas.microsoft.com/office/drawing/2015/06/chart">
            <c:ext xmlns:c16="http://schemas.microsoft.com/office/drawing/2014/chart" uri="{C3380CC4-5D6E-409C-BE32-E72D297353CC}">
              <c16:uniqueId val="{00000001-DEB0-466D-966A-312382A28ED7}"/>
            </c:ext>
          </c:extLst>
        </c:ser>
        <c:ser>
          <c:idx val="1"/>
          <c:order val="2"/>
          <c:tx>
            <c:strRef>
              <c:f>MINITAB!$D$13</c:f>
              <c:strCache>
                <c:ptCount val="1"/>
                <c:pt idx="0">
                  <c:v>C550 </c:v>
                </c:pt>
              </c:strCache>
            </c:strRef>
          </c:tx>
          <c:spPr>
            <a:ln w="25400">
              <a:noFill/>
            </a:ln>
          </c:spPr>
          <c:marker>
            <c:symbol val="square"/>
            <c:size val="3"/>
          </c:marker>
          <c:xVal>
            <c:numRef>
              <c:f>MINITAB!$B$14:$B$25</c:f>
              <c:numCache>
                <c:formatCode>General</c:formatCode>
                <c:ptCount val="12"/>
                <c:pt idx="0">
                  <c:v>1.7999999999999999E-2</c:v>
                </c:pt>
                <c:pt idx="1">
                  <c:v>3.4000000000000002E-2</c:v>
                </c:pt>
                <c:pt idx="2">
                  <c:v>4.2000000000000003E-2</c:v>
                </c:pt>
                <c:pt idx="3">
                  <c:v>0.05</c:v>
                </c:pt>
                <c:pt idx="4">
                  <c:v>6.7000000000000004E-2</c:v>
                </c:pt>
                <c:pt idx="5">
                  <c:v>8.3000000000000004E-2</c:v>
                </c:pt>
                <c:pt idx="6">
                  <c:v>0.16700000000000001</c:v>
                </c:pt>
                <c:pt idx="7">
                  <c:v>0.25</c:v>
                </c:pt>
                <c:pt idx="8">
                  <c:v>0.33</c:v>
                </c:pt>
                <c:pt idx="9">
                  <c:v>0.5</c:v>
                </c:pt>
                <c:pt idx="10">
                  <c:v>0.66700000000000004</c:v>
                </c:pt>
                <c:pt idx="11">
                  <c:v>0.83299999999999996</c:v>
                </c:pt>
              </c:numCache>
            </c:numRef>
          </c:xVal>
          <c:yVal>
            <c:numRef>
              <c:f>MINITAB!$D$14:$D$25</c:f>
              <c:numCache>
                <c:formatCode>General</c:formatCode>
                <c:ptCount val="12"/>
                <c:pt idx="0">
                  <c:v>4.3804000000000087</c:v>
                </c:pt>
                <c:pt idx="1">
                  <c:v>7.3975000000000071</c:v>
                </c:pt>
                <c:pt idx="2">
                  <c:v>8.5907000000000266</c:v>
                </c:pt>
                <c:pt idx="3">
                  <c:v>9.0957000000000221</c:v>
                </c:pt>
                <c:pt idx="4">
                  <c:v>10.569399999999971</c:v>
                </c:pt>
                <c:pt idx="5">
                  <c:v>12.173200000000008</c:v>
                </c:pt>
                <c:pt idx="6">
                  <c:v>16.697000000000056</c:v>
                </c:pt>
                <c:pt idx="7">
                  <c:v>20.221599999999995</c:v>
                </c:pt>
                <c:pt idx="8">
                  <c:v>22.481400000000061</c:v>
                </c:pt>
                <c:pt idx="9">
                  <c:v>27.084899999999976</c:v>
                </c:pt>
                <c:pt idx="10">
                  <c:v>29.537399999999959</c:v>
                </c:pt>
                <c:pt idx="11">
                  <c:v>32.807999999999993</c:v>
                </c:pt>
              </c:numCache>
            </c:numRef>
          </c:yVal>
          <c:smooth val="0"/>
          <c:extLst xmlns:c16r2="http://schemas.microsoft.com/office/drawing/2015/06/chart">
            <c:ext xmlns:c16="http://schemas.microsoft.com/office/drawing/2014/chart" uri="{C3380CC4-5D6E-409C-BE32-E72D297353CC}">
              <c16:uniqueId val="{00000002-DEB0-466D-966A-312382A28ED7}"/>
            </c:ext>
          </c:extLst>
        </c:ser>
        <c:ser>
          <c:idx val="4"/>
          <c:order val="3"/>
          <c:tx>
            <c:v>C550 (Langmuir)</c:v>
          </c:tx>
          <c:spPr>
            <a:ln w="6350">
              <a:solidFill>
                <a:schemeClr val="accent2"/>
              </a:solidFill>
            </a:ln>
          </c:spPr>
          <c:marker>
            <c:symbol val="none"/>
          </c:marker>
          <c:xVal>
            <c:numRef>
              <c:f>MINITAB!$G$14:$G$25</c:f>
              <c:numCache>
                <c:formatCode>General</c:formatCode>
                <c:ptCount val="12"/>
                <c:pt idx="0">
                  <c:v>1.7999999999999999E-2</c:v>
                </c:pt>
                <c:pt idx="1">
                  <c:v>3.4000000000000002E-2</c:v>
                </c:pt>
                <c:pt idx="2">
                  <c:v>4.2000000000000003E-2</c:v>
                </c:pt>
                <c:pt idx="3">
                  <c:v>0.05</c:v>
                </c:pt>
                <c:pt idx="4">
                  <c:v>6.7000000000000004E-2</c:v>
                </c:pt>
                <c:pt idx="5">
                  <c:v>8.3000000000000004E-2</c:v>
                </c:pt>
                <c:pt idx="6">
                  <c:v>0.16700000000000001</c:v>
                </c:pt>
                <c:pt idx="7">
                  <c:v>0.25</c:v>
                </c:pt>
                <c:pt idx="8">
                  <c:v>0.33</c:v>
                </c:pt>
                <c:pt idx="9">
                  <c:v>0.5</c:v>
                </c:pt>
                <c:pt idx="10">
                  <c:v>0.66700000000000004</c:v>
                </c:pt>
                <c:pt idx="11">
                  <c:v>0.83299999999999996</c:v>
                </c:pt>
              </c:numCache>
            </c:numRef>
          </c:xVal>
          <c:yVal>
            <c:numRef>
              <c:f>MINITAB!$I$14:$I$25</c:f>
              <c:numCache>
                <c:formatCode>0.00</c:formatCode>
                <c:ptCount val="12"/>
                <c:pt idx="0">
                  <c:v>3.4429530201342278</c:v>
                </c:pt>
                <c:pt idx="1">
                  <c:v>6.0065337577483673</c:v>
                </c:pt>
                <c:pt idx="2">
                  <c:v>7.1468452477005009</c:v>
                </c:pt>
                <c:pt idx="3">
                  <c:v>8.2062256809338532</c:v>
                </c:pt>
                <c:pt idx="4">
                  <c:v>10.225269556407847</c:v>
                </c:pt>
                <c:pt idx="5">
                  <c:v>11.882900006788404</c:v>
                </c:pt>
                <c:pt idx="6">
                  <c:v>18.044110866335366</c:v>
                </c:pt>
                <c:pt idx="7">
                  <c:v>21.742268041237114</c:v>
                </c:pt>
                <c:pt idx="8">
                  <c:v>24.157237070461647</c:v>
                </c:pt>
                <c:pt idx="9">
                  <c:v>27.38961038961039</c:v>
                </c:pt>
                <c:pt idx="10">
                  <c:v>29.294716674649617</c:v>
                </c:pt>
                <c:pt idx="11">
                  <c:v>30.563090412484126</c:v>
                </c:pt>
              </c:numCache>
            </c:numRef>
          </c:yVal>
          <c:smooth val="0"/>
          <c:extLst xmlns:c16r2="http://schemas.microsoft.com/office/drawing/2015/06/chart">
            <c:ext xmlns:c16="http://schemas.microsoft.com/office/drawing/2014/chart" uri="{C3380CC4-5D6E-409C-BE32-E72D297353CC}">
              <c16:uniqueId val="{00000003-DEB0-466D-966A-312382A28ED7}"/>
            </c:ext>
          </c:extLst>
        </c:ser>
        <c:ser>
          <c:idx val="0"/>
          <c:order val="4"/>
          <c:tx>
            <c:strRef>
              <c:f>MINITAB!$C$13</c:f>
              <c:strCache>
                <c:ptCount val="1"/>
                <c:pt idx="0">
                  <c:v>C350 </c:v>
                </c:pt>
              </c:strCache>
            </c:strRef>
          </c:tx>
          <c:spPr>
            <a:ln w="25400">
              <a:noFill/>
            </a:ln>
          </c:spPr>
          <c:marker>
            <c:symbol val="diamond"/>
            <c:size val="3"/>
            <c:spPr>
              <a:solidFill>
                <a:schemeClr val="accent1"/>
              </a:solidFill>
            </c:spPr>
          </c:marker>
          <c:xVal>
            <c:numRef>
              <c:f>MINITAB!$B$14:$B$25</c:f>
              <c:numCache>
                <c:formatCode>General</c:formatCode>
                <c:ptCount val="12"/>
                <c:pt idx="0">
                  <c:v>1.7999999999999999E-2</c:v>
                </c:pt>
                <c:pt idx="1">
                  <c:v>3.4000000000000002E-2</c:v>
                </c:pt>
                <c:pt idx="2">
                  <c:v>4.2000000000000003E-2</c:v>
                </c:pt>
                <c:pt idx="3">
                  <c:v>0.05</c:v>
                </c:pt>
                <c:pt idx="4">
                  <c:v>6.7000000000000004E-2</c:v>
                </c:pt>
                <c:pt idx="5">
                  <c:v>8.3000000000000004E-2</c:v>
                </c:pt>
                <c:pt idx="6">
                  <c:v>0.16700000000000001</c:v>
                </c:pt>
                <c:pt idx="7">
                  <c:v>0.25</c:v>
                </c:pt>
                <c:pt idx="8">
                  <c:v>0.33</c:v>
                </c:pt>
                <c:pt idx="9">
                  <c:v>0.5</c:v>
                </c:pt>
                <c:pt idx="10">
                  <c:v>0.66700000000000004</c:v>
                </c:pt>
                <c:pt idx="11">
                  <c:v>0.83299999999999996</c:v>
                </c:pt>
              </c:numCache>
            </c:numRef>
          </c:xVal>
          <c:yVal>
            <c:numRef>
              <c:f>MINITAB!$C$14:$C$25</c:f>
              <c:numCache>
                <c:formatCode>General</c:formatCode>
                <c:ptCount val="12"/>
                <c:pt idx="0">
                  <c:v>1.0690999999999917</c:v>
                </c:pt>
                <c:pt idx="1">
                  <c:v>1.7316000000000997</c:v>
                </c:pt>
                <c:pt idx="2">
                  <c:v>1.9695000000000105</c:v>
                </c:pt>
                <c:pt idx="3">
                  <c:v>2.3199999999999932</c:v>
                </c:pt>
                <c:pt idx="4">
                  <c:v>2.4357999999999431</c:v>
                </c:pt>
                <c:pt idx="5">
                  <c:v>3.25160000000011</c:v>
                </c:pt>
                <c:pt idx="6">
                  <c:v>4.1864999999999952</c:v>
                </c:pt>
                <c:pt idx="7">
                  <c:v>5.7180999999999926</c:v>
                </c:pt>
                <c:pt idx="8">
                  <c:v>6.5937999999999874</c:v>
                </c:pt>
                <c:pt idx="9">
                  <c:v>8.4468000000001098</c:v>
                </c:pt>
                <c:pt idx="10">
                  <c:v>9.5068999999999448</c:v>
                </c:pt>
                <c:pt idx="11">
                  <c:v>11.033800000000014</c:v>
                </c:pt>
              </c:numCache>
            </c:numRef>
          </c:yVal>
          <c:smooth val="0"/>
          <c:extLst xmlns:c16r2="http://schemas.microsoft.com/office/drawing/2015/06/chart">
            <c:ext xmlns:c16="http://schemas.microsoft.com/office/drawing/2014/chart" uri="{C3380CC4-5D6E-409C-BE32-E72D297353CC}">
              <c16:uniqueId val="{00000004-DEB0-466D-966A-312382A28ED7}"/>
            </c:ext>
          </c:extLst>
        </c:ser>
        <c:ser>
          <c:idx val="3"/>
          <c:order val="5"/>
          <c:tx>
            <c:v>C350 (Langmuir)</c:v>
          </c:tx>
          <c:spPr>
            <a:ln w="6350">
              <a:solidFill>
                <a:schemeClr val="accent1"/>
              </a:solidFill>
            </a:ln>
          </c:spPr>
          <c:marker>
            <c:symbol val="none"/>
          </c:marker>
          <c:xVal>
            <c:numRef>
              <c:f>MINITAB!$G$14:$G$25</c:f>
              <c:numCache>
                <c:formatCode>General</c:formatCode>
                <c:ptCount val="12"/>
                <c:pt idx="0">
                  <c:v>1.7999999999999999E-2</c:v>
                </c:pt>
                <c:pt idx="1">
                  <c:v>3.4000000000000002E-2</c:v>
                </c:pt>
                <c:pt idx="2">
                  <c:v>4.2000000000000003E-2</c:v>
                </c:pt>
                <c:pt idx="3">
                  <c:v>0.05</c:v>
                </c:pt>
                <c:pt idx="4">
                  <c:v>6.7000000000000004E-2</c:v>
                </c:pt>
                <c:pt idx="5">
                  <c:v>8.3000000000000004E-2</c:v>
                </c:pt>
                <c:pt idx="6">
                  <c:v>0.16700000000000001</c:v>
                </c:pt>
                <c:pt idx="7">
                  <c:v>0.25</c:v>
                </c:pt>
                <c:pt idx="8">
                  <c:v>0.33</c:v>
                </c:pt>
                <c:pt idx="9">
                  <c:v>0.5</c:v>
                </c:pt>
                <c:pt idx="10">
                  <c:v>0.66700000000000004</c:v>
                </c:pt>
                <c:pt idx="11">
                  <c:v>0.83299999999999996</c:v>
                </c:pt>
              </c:numCache>
            </c:numRef>
          </c:xVal>
          <c:yVal>
            <c:numRef>
              <c:f>MINITAB!$H$14:$H$25</c:f>
              <c:numCache>
                <c:formatCode>0.00</c:formatCode>
                <c:ptCount val="12"/>
                <c:pt idx="0">
                  <c:v>0.69521266450505437</c:v>
                </c:pt>
                <c:pt idx="1">
                  <c:v>1.2612200036636745</c:v>
                </c:pt>
                <c:pt idx="2">
                  <c:v>1.527752829171906</c:v>
                </c:pt>
                <c:pt idx="3">
                  <c:v>1.7841409691629955</c:v>
                </c:pt>
                <c:pt idx="4">
                  <c:v>2.29782369379287</c:v>
                </c:pt>
                <c:pt idx="5">
                  <c:v>2.7460991749040113</c:v>
                </c:pt>
                <c:pt idx="6">
                  <c:v>4.6615893583293131</c:v>
                </c:pt>
                <c:pt idx="7">
                  <c:v>6.044776119402985</c:v>
                </c:pt>
                <c:pt idx="8">
                  <c:v>7.067689053410894</c:v>
                </c:pt>
                <c:pt idx="9">
                  <c:v>8.6170212765957448</c:v>
                </c:pt>
                <c:pt idx="10">
                  <c:v>9.6445785283301788</c:v>
                </c:pt>
                <c:pt idx="11">
                  <c:v>10.383336924071282</c:v>
                </c:pt>
              </c:numCache>
            </c:numRef>
          </c:yVal>
          <c:smooth val="0"/>
          <c:extLst xmlns:c16r2="http://schemas.microsoft.com/office/drawing/2015/06/chart">
            <c:ext xmlns:c16="http://schemas.microsoft.com/office/drawing/2014/chart" uri="{C3380CC4-5D6E-409C-BE32-E72D297353CC}">
              <c16:uniqueId val="{00000005-DEB0-466D-966A-312382A28ED7}"/>
            </c:ext>
          </c:extLst>
        </c:ser>
        <c:dLbls>
          <c:showLegendKey val="0"/>
          <c:showVal val="0"/>
          <c:showCatName val="0"/>
          <c:showSerName val="0"/>
          <c:showPercent val="0"/>
          <c:showBubbleSize val="0"/>
        </c:dLbls>
        <c:axId val="465486592"/>
        <c:axId val="465488512"/>
      </c:scatterChart>
      <c:scatterChart>
        <c:scatterStyle val="smoothMarker"/>
        <c:varyColors val="0"/>
        <c:ser>
          <c:idx val="6"/>
          <c:order val="6"/>
          <c:tx>
            <c:v>C750 Freundlich</c:v>
          </c:tx>
          <c:spPr>
            <a:ln w="9525">
              <a:solidFill>
                <a:schemeClr val="bg1">
                  <a:lumMod val="65000"/>
                </a:schemeClr>
              </a:solidFill>
              <a:prstDash val="sysDot"/>
            </a:ln>
          </c:spPr>
          <c:marker>
            <c:symbol val="none"/>
          </c:marker>
          <c:xVal>
            <c:numRef>
              <c:f>MINITAB!$G$30:$G$41</c:f>
              <c:numCache>
                <c:formatCode>General</c:formatCode>
                <c:ptCount val="12"/>
                <c:pt idx="0">
                  <c:v>1.7999999999999999E-2</c:v>
                </c:pt>
                <c:pt idx="1">
                  <c:v>3.4000000000000002E-2</c:v>
                </c:pt>
                <c:pt idx="2">
                  <c:v>4.2000000000000003E-2</c:v>
                </c:pt>
                <c:pt idx="3">
                  <c:v>0.05</c:v>
                </c:pt>
                <c:pt idx="4">
                  <c:v>6.7000000000000004E-2</c:v>
                </c:pt>
                <c:pt idx="5">
                  <c:v>8.3000000000000004E-2</c:v>
                </c:pt>
                <c:pt idx="6">
                  <c:v>0.16700000000000001</c:v>
                </c:pt>
                <c:pt idx="7">
                  <c:v>0.25</c:v>
                </c:pt>
                <c:pt idx="8">
                  <c:v>0.33</c:v>
                </c:pt>
                <c:pt idx="9">
                  <c:v>0.5</c:v>
                </c:pt>
                <c:pt idx="10">
                  <c:v>0.66700000000000004</c:v>
                </c:pt>
                <c:pt idx="11">
                  <c:v>0.83299999999999996</c:v>
                </c:pt>
              </c:numCache>
            </c:numRef>
          </c:xVal>
          <c:yVal>
            <c:numRef>
              <c:f>MINITAB!$J$30:$J$41</c:f>
              <c:numCache>
                <c:formatCode>0.00</c:formatCode>
                <c:ptCount val="12"/>
                <c:pt idx="0">
                  <c:v>7.0898633736609913</c:v>
                </c:pt>
                <c:pt idx="1">
                  <c:v>9.4993265133510043</c:v>
                </c:pt>
                <c:pt idx="2">
                  <c:v>10.469047911610289</c:v>
                </c:pt>
                <c:pt idx="3">
                  <c:v>11.343281654254129</c:v>
                </c:pt>
                <c:pt idx="4">
                  <c:v>12.977974694993419</c:v>
                </c:pt>
                <c:pt idx="5">
                  <c:v>14.321497656642922</c:v>
                </c:pt>
                <c:pt idx="6">
                  <c:v>19.754320267566939</c:v>
                </c:pt>
                <c:pt idx="7">
                  <c:v>23.782905912631055</c:v>
                </c:pt>
                <c:pt idx="8">
                  <c:v>27.022711591925756</c:v>
                </c:pt>
                <c:pt idx="9">
                  <c:v>32.714381639706986</c:v>
                </c:pt>
                <c:pt idx="10">
                  <c:v>37.351702114919746</c:v>
                </c:pt>
                <c:pt idx="11">
                  <c:v>41.372257058262342</c:v>
                </c:pt>
              </c:numCache>
            </c:numRef>
          </c:yVal>
          <c:smooth val="1"/>
          <c:extLst xmlns:c16r2="http://schemas.microsoft.com/office/drawing/2015/06/chart">
            <c:ext xmlns:c16="http://schemas.microsoft.com/office/drawing/2014/chart" uri="{C3380CC4-5D6E-409C-BE32-E72D297353CC}">
              <c16:uniqueId val="{00000006-DEB0-466D-966A-312382A28ED7}"/>
            </c:ext>
          </c:extLst>
        </c:ser>
        <c:ser>
          <c:idx val="7"/>
          <c:order val="7"/>
          <c:tx>
            <c:v>C550 (Freundlich)</c:v>
          </c:tx>
          <c:spPr>
            <a:ln w="9525">
              <a:prstDash val="sysDot"/>
            </a:ln>
          </c:spPr>
          <c:marker>
            <c:symbol val="none"/>
          </c:marker>
          <c:xVal>
            <c:numRef>
              <c:f>MINITAB!$G$30:$G$41</c:f>
              <c:numCache>
                <c:formatCode>General</c:formatCode>
                <c:ptCount val="12"/>
                <c:pt idx="0">
                  <c:v>1.7999999999999999E-2</c:v>
                </c:pt>
                <c:pt idx="1">
                  <c:v>3.4000000000000002E-2</c:v>
                </c:pt>
                <c:pt idx="2">
                  <c:v>4.2000000000000003E-2</c:v>
                </c:pt>
                <c:pt idx="3">
                  <c:v>0.05</c:v>
                </c:pt>
                <c:pt idx="4">
                  <c:v>6.7000000000000004E-2</c:v>
                </c:pt>
                <c:pt idx="5">
                  <c:v>8.3000000000000004E-2</c:v>
                </c:pt>
                <c:pt idx="6">
                  <c:v>0.16700000000000001</c:v>
                </c:pt>
                <c:pt idx="7">
                  <c:v>0.25</c:v>
                </c:pt>
                <c:pt idx="8">
                  <c:v>0.33</c:v>
                </c:pt>
                <c:pt idx="9">
                  <c:v>0.5</c:v>
                </c:pt>
                <c:pt idx="10">
                  <c:v>0.66700000000000004</c:v>
                </c:pt>
                <c:pt idx="11">
                  <c:v>0.83299999999999996</c:v>
                </c:pt>
              </c:numCache>
            </c:numRef>
          </c:xVal>
          <c:yVal>
            <c:numRef>
              <c:f>MINITAB!$I$30:$I$41</c:f>
              <c:numCache>
                <c:formatCode>0.00</c:formatCode>
                <c:ptCount val="12"/>
                <c:pt idx="0">
                  <c:v>5.9535945118067328</c:v>
                </c:pt>
                <c:pt idx="1">
                  <c:v>7.926329784242804</c:v>
                </c:pt>
                <c:pt idx="2">
                  <c:v>8.7170353207185194</c:v>
                </c:pt>
                <c:pt idx="3">
                  <c:v>9.428511323509607</c:v>
                </c:pt>
                <c:pt idx="4">
                  <c:v>10.755739773001979</c:v>
                </c:pt>
                <c:pt idx="5">
                  <c:v>11.843819131632953</c:v>
                </c:pt>
                <c:pt idx="6">
                  <c:v>16.222920392119313</c:v>
                </c:pt>
                <c:pt idx="7">
                  <c:v>19.452688345033717</c:v>
                </c:pt>
                <c:pt idx="8">
                  <c:v>22.041335134406221</c:v>
                </c:pt>
                <c:pt idx="9">
                  <c:v>26.573155381413098</c:v>
                </c:pt>
                <c:pt idx="10">
                  <c:v>30.252637972915686</c:v>
                </c:pt>
                <c:pt idx="11">
                  <c:v>33.434657266191138</c:v>
                </c:pt>
              </c:numCache>
            </c:numRef>
          </c:yVal>
          <c:smooth val="1"/>
          <c:extLst xmlns:c16r2="http://schemas.microsoft.com/office/drawing/2015/06/chart">
            <c:ext xmlns:c16="http://schemas.microsoft.com/office/drawing/2014/chart" uri="{C3380CC4-5D6E-409C-BE32-E72D297353CC}">
              <c16:uniqueId val="{00000007-DEB0-466D-966A-312382A28ED7}"/>
            </c:ext>
          </c:extLst>
        </c:ser>
        <c:ser>
          <c:idx val="8"/>
          <c:order val="8"/>
          <c:tx>
            <c:v>C350 (Freundlich)</c:v>
          </c:tx>
          <c:spPr>
            <a:ln w="9525">
              <a:solidFill>
                <a:schemeClr val="accent1"/>
              </a:solidFill>
              <a:prstDash val="sysDot"/>
            </a:ln>
          </c:spPr>
          <c:marker>
            <c:symbol val="none"/>
          </c:marker>
          <c:xVal>
            <c:numRef>
              <c:f>MINITAB!$G$30:$G$41</c:f>
              <c:numCache>
                <c:formatCode>General</c:formatCode>
                <c:ptCount val="12"/>
                <c:pt idx="0">
                  <c:v>1.7999999999999999E-2</c:v>
                </c:pt>
                <c:pt idx="1">
                  <c:v>3.4000000000000002E-2</c:v>
                </c:pt>
                <c:pt idx="2">
                  <c:v>4.2000000000000003E-2</c:v>
                </c:pt>
                <c:pt idx="3">
                  <c:v>0.05</c:v>
                </c:pt>
                <c:pt idx="4">
                  <c:v>6.7000000000000004E-2</c:v>
                </c:pt>
                <c:pt idx="5">
                  <c:v>8.3000000000000004E-2</c:v>
                </c:pt>
                <c:pt idx="6">
                  <c:v>0.16700000000000001</c:v>
                </c:pt>
                <c:pt idx="7">
                  <c:v>0.25</c:v>
                </c:pt>
                <c:pt idx="8">
                  <c:v>0.33</c:v>
                </c:pt>
                <c:pt idx="9">
                  <c:v>0.5</c:v>
                </c:pt>
                <c:pt idx="10">
                  <c:v>0.66700000000000004</c:v>
                </c:pt>
                <c:pt idx="11">
                  <c:v>0.83299999999999996</c:v>
                </c:pt>
              </c:numCache>
            </c:numRef>
          </c:xVal>
          <c:yVal>
            <c:numRef>
              <c:f>MINITAB!$H$30:$H$41</c:f>
              <c:numCache>
                <c:formatCode>0.00</c:formatCode>
                <c:ptCount val="12"/>
                <c:pt idx="0">
                  <c:v>1.2355637513118451</c:v>
                </c:pt>
                <c:pt idx="1">
                  <c:v>1.7754269722565996</c:v>
                </c:pt>
                <c:pt idx="2">
                  <c:v>2.0026816854156189</c:v>
                </c:pt>
                <c:pt idx="3">
                  <c:v>2.2119368973033016</c:v>
                </c:pt>
                <c:pt idx="4">
                  <c:v>2.6134997820377786</c:v>
                </c:pt>
                <c:pt idx="5">
                  <c:v>2.9528021154746771</c:v>
                </c:pt>
                <c:pt idx="6">
                  <c:v>4.3985366928198628</c:v>
                </c:pt>
                <c:pt idx="7">
                  <c:v>5.535866847434681</c:v>
                </c:pt>
                <c:pt idx="8">
                  <c:v>6.4850417505221465</c:v>
                </c:pt>
                <c:pt idx="9">
                  <c:v>8.2181248188807103</c:v>
                </c:pt>
                <c:pt idx="10">
                  <c:v>9.6852660702879323</c:v>
                </c:pt>
                <c:pt idx="11">
                  <c:v>10.993284856040926</c:v>
                </c:pt>
              </c:numCache>
            </c:numRef>
          </c:yVal>
          <c:smooth val="1"/>
          <c:extLst xmlns:c16r2="http://schemas.microsoft.com/office/drawing/2015/06/chart">
            <c:ext xmlns:c16="http://schemas.microsoft.com/office/drawing/2014/chart" uri="{C3380CC4-5D6E-409C-BE32-E72D297353CC}">
              <c16:uniqueId val="{00000008-DEB0-466D-966A-312382A28ED7}"/>
            </c:ext>
          </c:extLst>
        </c:ser>
        <c:dLbls>
          <c:showLegendKey val="0"/>
          <c:showVal val="0"/>
          <c:showCatName val="0"/>
          <c:showSerName val="0"/>
          <c:showPercent val="0"/>
          <c:showBubbleSize val="0"/>
        </c:dLbls>
        <c:axId val="465486592"/>
        <c:axId val="465488512"/>
      </c:scatterChart>
      <c:valAx>
        <c:axId val="465486592"/>
        <c:scaling>
          <c:orientation val="minMax"/>
          <c:max val="1"/>
          <c:min val="0"/>
        </c:scaling>
        <c:delete val="0"/>
        <c:axPos val="b"/>
        <c:title>
          <c:tx>
            <c:rich>
              <a:bodyPr/>
              <a:lstStyle/>
              <a:p>
                <a:pPr>
                  <a:defRPr sz="1000"/>
                </a:pPr>
                <a:r>
                  <a:rPr lang="es-ES" sz="1000" baseline="0"/>
                  <a:t>P</a:t>
                </a:r>
                <a:r>
                  <a:rPr lang="es-ES" sz="1000" baseline="-25000"/>
                  <a:t>CO2 </a:t>
                </a:r>
                <a:r>
                  <a:rPr lang="es-ES" sz="1000" baseline="0"/>
                  <a:t>(atm) </a:t>
                </a:r>
                <a:r>
                  <a:rPr lang="es-ES" sz="1000"/>
                  <a:t> </a:t>
                </a:r>
              </a:p>
            </c:rich>
          </c:tx>
          <c:layout>
            <c:manualLayout>
              <c:xMode val="edge"/>
              <c:yMode val="edge"/>
              <c:x val="0.44828721409823774"/>
              <c:y val="0.91739460038611986"/>
            </c:manualLayout>
          </c:layout>
          <c:overlay val="0"/>
        </c:title>
        <c:numFmt formatCode="General" sourceLinked="1"/>
        <c:majorTickMark val="out"/>
        <c:minorTickMark val="none"/>
        <c:tickLblPos val="nextTo"/>
        <c:txPr>
          <a:bodyPr/>
          <a:lstStyle/>
          <a:p>
            <a:pPr>
              <a:defRPr sz="1000"/>
            </a:pPr>
            <a:endParaRPr lang="es-ES"/>
          </a:p>
        </c:txPr>
        <c:crossAx val="465488512"/>
        <c:crosses val="autoZero"/>
        <c:crossBetween val="midCat"/>
        <c:majorUnit val="0.2"/>
      </c:valAx>
      <c:valAx>
        <c:axId val="465488512"/>
        <c:scaling>
          <c:orientation val="minMax"/>
          <c:max val="45"/>
        </c:scaling>
        <c:delete val="0"/>
        <c:axPos val="l"/>
        <c:majorGridlines>
          <c:spPr>
            <a:ln>
              <a:solidFill>
                <a:schemeClr val="bg1">
                  <a:lumMod val="75000"/>
                </a:schemeClr>
              </a:solidFill>
              <a:prstDash val="sysDot"/>
            </a:ln>
          </c:spPr>
        </c:majorGridlines>
        <c:title>
          <c:tx>
            <c:rich>
              <a:bodyPr/>
              <a:lstStyle/>
              <a:p>
                <a:pPr>
                  <a:defRPr sz="1000"/>
                </a:pPr>
                <a:r>
                  <a:rPr lang="es-ES" sz="1000"/>
                  <a:t>mg CO</a:t>
                </a:r>
                <a:r>
                  <a:rPr lang="es-ES" sz="1000" baseline="-25000"/>
                  <a:t>2</a:t>
                </a:r>
                <a:r>
                  <a:rPr lang="es-ES" sz="1000"/>
                  <a:t> adsorbed/g char</a:t>
                </a:r>
              </a:p>
            </c:rich>
          </c:tx>
          <c:layout>
            <c:manualLayout>
              <c:xMode val="edge"/>
              <c:yMode val="edge"/>
              <c:x val="5.6148271568443034E-3"/>
              <c:y val="0.21711246170274343"/>
            </c:manualLayout>
          </c:layout>
          <c:overlay val="0"/>
        </c:title>
        <c:numFmt formatCode="General" sourceLinked="1"/>
        <c:majorTickMark val="out"/>
        <c:minorTickMark val="none"/>
        <c:tickLblPos val="nextTo"/>
        <c:txPr>
          <a:bodyPr/>
          <a:lstStyle/>
          <a:p>
            <a:pPr>
              <a:defRPr sz="1000"/>
            </a:pPr>
            <a:endParaRPr lang="es-ES"/>
          </a:p>
        </c:txPr>
        <c:crossAx val="465486592"/>
        <c:crosses val="autoZero"/>
        <c:crossBetween val="midCat"/>
      </c:valAx>
    </c:plotArea>
    <c:legend>
      <c:legendPos val="r"/>
      <c:legendEntry>
        <c:idx val="1"/>
        <c:delete val="1"/>
      </c:legendEntry>
      <c:legendEntry>
        <c:idx val="3"/>
        <c:delete val="1"/>
      </c:legendEntry>
      <c:legendEntry>
        <c:idx val="5"/>
        <c:delete val="1"/>
      </c:legendEntry>
      <c:legendEntry>
        <c:idx val="6"/>
        <c:delete val="1"/>
      </c:legendEntry>
      <c:legendEntry>
        <c:idx val="7"/>
        <c:delete val="1"/>
      </c:legendEntry>
      <c:legendEntry>
        <c:idx val="8"/>
        <c:delete val="1"/>
      </c:legendEntry>
      <c:layout>
        <c:manualLayout>
          <c:xMode val="edge"/>
          <c:yMode val="edge"/>
          <c:x val="9.5238095238095247E-3"/>
          <c:y val="3.8450264320297575E-3"/>
          <c:w val="0.98402437195350601"/>
          <c:h val="0.2285053521069815"/>
        </c:manualLayout>
      </c:layout>
      <c:overlay val="0"/>
      <c:txPr>
        <a:bodyPr/>
        <a:lstStyle/>
        <a:p>
          <a:pPr>
            <a:defRPr sz="900"/>
          </a:pPr>
          <a:endParaRPr lang="es-ES"/>
        </a:p>
      </c:txPr>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445914621497054"/>
          <c:y val="0.19623058029171259"/>
          <c:w val="0.73539194198663316"/>
          <c:h val="0.61118170883325074"/>
        </c:manualLayout>
      </c:layout>
      <c:scatterChart>
        <c:scatterStyle val="lineMarker"/>
        <c:varyColors val="0"/>
        <c:ser>
          <c:idx val="2"/>
          <c:order val="0"/>
          <c:tx>
            <c:strRef>
              <c:f>MINITAB!$E$13</c:f>
              <c:strCache>
                <c:ptCount val="1"/>
                <c:pt idx="0">
                  <c:v>SP750 </c:v>
                </c:pt>
              </c:strCache>
            </c:strRef>
          </c:tx>
          <c:spPr>
            <a:ln w="25400">
              <a:noFill/>
            </a:ln>
          </c:spPr>
          <c:marker>
            <c:symbol val="circle"/>
            <c:size val="3"/>
          </c:marker>
          <c:xVal>
            <c:numRef>
              <c:f>MINITAB!$B$14:$B$25</c:f>
              <c:numCache>
                <c:formatCode>General</c:formatCode>
                <c:ptCount val="12"/>
                <c:pt idx="0">
                  <c:v>1.7999999999999999E-2</c:v>
                </c:pt>
                <c:pt idx="1">
                  <c:v>3.4000000000000002E-2</c:v>
                </c:pt>
                <c:pt idx="2">
                  <c:v>4.2000000000000003E-2</c:v>
                </c:pt>
                <c:pt idx="3">
                  <c:v>0.05</c:v>
                </c:pt>
                <c:pt idx="4">
                  <c:v>6.7000000000000004E-2</c:v>
                </c:pt>
                <c:pt idx="5">
                  <c:v>8.3000000000000004E-2</c:v>
                </c:pt>
                <c:pt idx="6">
                  <c:v>0.16700000000000001</c:v>
                </c:pt>
                <c:pt idx="7">
                  <c:v>0.25</c:v>
                </c:pt>
                <c:pt idx="8">
                  <c:v>0.33</c:v>
                </c:pt>
                <c:pt idx="9">
                  <c:v>0.5</c:v>
                </c:pt>
                <c:pt idx="10">
                  <c:v>0.66700000000000004</c:v>
                </c:pt>
                <c:pt idx="11">
                  <c:v>0.83299999999999996</c:v>
                </c:pt>
              </c:numCache>
            </c:numRef>
          </c:xVal>
          <c:yVal>
            <c:numRef>
              <c:f>MINITAB!$E$14:$E$25</c:f>
              <c:numCache>
                <c:formatCode>General</c:formatCode>
                <c:ptCount val="12"/>
                <c:pt idx="0">
                  <c:v>4.6961000000000297</c:v>
                </c:pt>
                <c:pt idx="1">
                  <c:v>8.038099999999984</c:v>
                </c:pt>
                <c:pt idx="2">
                  <c:v>9.3574000000000961</c:v>
                </c:pt>
                <c:pt idx="3">
                  <c:v>9.8546000000000316</c:v>
                </c:pt>
                <c:pt idx="4">
                  <c:v>11.86170000000004</c:v>
                </c:pt>
                <c:pt idx="5">
                  <c:v>13.521400000000053</c:v>
                </c:pt>
                <c:pt idx="6">
                  <c:v>18.649699999999996</c:v>
                </c:pt>
                <c:pt idx="7">
                  <c:v>23.046999999999969</c:v>
                </c:pt>
                <c:pt idx="8">
                  <c:v>25.018200000000093</c:v>
                </c:pt>
                <c:pt idx="9">
                  <c:v>31.268500000000039</c:v>
                </c:pt>
                <c:pt idx="10">
                  <c:v>33.891500000000008</c:v>
                </c:pt>
                <c:pt idx="11">
                  <c:v>38.037699999999994</c:v>
                </c:pt>
              </c:numCache>
            </c:numRef>
          </c:yVal>
          <c:smooth val="0"/>
          <c:extLst xmlns:c16r2="http://schemas.microsoft.com/office/drawing/2015/06/chart">
            <c:ext xmlns:c16="http://schemas.microsoft.com/office/drawing/2014/chart" uri="{C3380CC4-5D6E-409C-BE32-E72D297353CC}">
              <c16:uniqueId val="{00000000-95AF-40AF-8A56-D88CC24AB936}"/>
            </c:ext>
          </c:extLst>
        </c:ser>
        <c:ser>
          <c:idx val="5"/>
          <c:order val="1"/>
          <c:tx>
            <c:v>S750 (Langmuir)</c:v>
          </c:tx>
          <c:spPr>
            <a:ln w="6350">
              <a:solidFill>
                <a:schemeClr val="bg1">
                  <a:lumMod val="65000"/>
                </a:schemeClr>
              </a:solidFill>
            </a:ln>
          </c:spPr>
          <c:marker>
            <c:symbol val="none"/>
          </c:marker>
          <c:xVal>
            <c:numRef>
              <c:f>MINITAB!$G$14:$G$25</c:f>
              <c:numCache>
                <c:formatCode>General</c:formatCode>
                <c:ptCount val="12"/>
                <c:pt idx="0">
                  <c:v>1.7999999999999999E-2</c:v>
                </c:pt>
                <c:pt idx="1">
                  <c:v>3.4000000000000002E-2</c:v>
                </c:pt>
                <c:pt idx="2">
                  <c:v>4.2000000000000003E-2</c:v>
                </c:pt>
                <c:pt idx="3">
                  <c:v>0.05</c:v>
                </c:pt>
                <c:pt idx="4">
                  <c:v>6.7000000000000004E-2</c:v>
                </c:pt>
                <c:pt idx="5">
                  <c:v>8.3000000000000004E-2</c:v>
                </c:pt>
                <c:pt idx="6">
                  <c:v>0.16700000000000001</c:v>
                </c:pt>
                <c:pt idx="7">
                  <c:v>0.25</c:v>
                </c:pt>
                <c:pt idx="8">
                  <c:v>0.33</c:v>
                </c:pt>
                <c:pt idx="9">
                  <c:v>0.5</c:v>
                </c:pt>
                <c:pt idx="10">
                  <c:v>0.66700000000000004</c:v>
                </c:pt>
                <c:pt idx="11">
                  <c:v>0.83299999999999996</c:v>
                </c:pt>
              </c:numCache>
            </c:numRef>
          </c:xVal>
          <c:yVal>
            <c:numRef>
              <c:f>MINITAB!$J$14:$J$25</c:f>
              <c:numCache>
                <c:formatCode>0.00</c:formatCode>
                <c:ptCount val="12"/>
                <c:pt idx="0">
                  <c:v>3.6330275229357789</c:v>
                </c:pt>
                <c:pt idx="1">
                  <c:v>6.3931623931623935</c:v>
                </c:pt>
                <c:pt idx="2">
                  <c:v>7.6363636363636367</c:v>
                </c:pt>
                <c:pt idx="3">
                  <c:v>8.8000000000000007</c:v>
                </c:pt>
                <c:pt idx="4">
                  <c:v>11.04119850187266</c:v>
                </c:pt>
                <c:pt idx="5">
                  <c:v>12.904593639575973</c:v>
                </c:pt>
                <c:pt idx="6">
                  <c:v>20.021798365122617</c:v>
                </c:pt>
                <c:pt idx="7">
                  <c:v>24.444444444444443</c:v>
                </c:pt>
                <c:pt idx="8">
                  <c:v>27.39622641509434</c:v>
                </c:pt>
                <c:pt idx="9">
                  <c:v>31.428571428571427</c:v>
                </c:pt>
                <c:pt idx="10">
                  <c:v>33.85005767012688</c:v>
                </c:pt>
                <c:pt idx="11">
                  <c:v>35.481122942884802</c:v>
                </c:pt>
              </c:numCache>
            </c:numRef>
          </c:yVal>
          <c:smooth val="0"/>
          <c:extLst xmlns:c16r2="http://schemas.microsoft.com/office/drawing/2015/06/chart">
            <c:ext xmlns:c16="http://schemas.microsoft.com/office/drawing/2014/chart" uri="{C3380CC4-5D6E-409C-BE32-E72D297353CC}">
              <c16:uniqueId val="{00000001-95AF-40AF-8A56-D88CC24AB936}"/>
            </c:ext>
          </c:extLst>
        </c:ser>
        <c:ser>
          <c:idx val="1"/>
          <c:order val="2"/>
          <c:tx>
            <c:strRef>
              <c:f>MINITAB!$D$13</c:f>
              <c:strCache>
                <c:ptCount val="1"/>
                <c:pt idx="0">
                  <c:v>SP550 </c:v>
                </c:pt>
              </c:strCache>
            </c:strRef>
          </c:tx>
          <c:spPr>
            <a:ln w="25400">
              <a:noFill/>
            </a:ln>
          </c:spPr>
          <c:marker>
            <c:symbol val="square"/>
            <c:size val="3"/>
          </c:marker>
          <c:xVal>
            <c:numRef>
              <c:f>MINITAB!$B$14:$B$25</c:f>
              <c:numCache>
                <c:formatCode>General</c:formatCode>
                <c:ptCount val="12"/>
                <c:pt idx="0">
                  <c:v>1.7999999999999999E-2</c:v>
                </c:pt>
                <c:pt idx="1">
                  <c:v>3.4000000000000002E-2</c:v>
                </c:pt>
                <c:pt idx="2">
                  <c:v>4.2000000000000003E-2</c:v>
                </c:pt>
                <c:pt idx="3">
                  <c:v>0.05</c:v>
                </c:pt>
                <c:pt idx="4">
                  <c:v>6.7000000000000004E-2</c:v>
                </c:pt>
                <c:pt idx="5">
                  <c:v>8.3000000000000004E-2</c:v>
                </c:pt>
                <c:pt idx="6">
                  <c:v>0.16700000000000001</c:v>
                </c:pt>
                <c:pt idx="7">
                  <c:v>0.25</c:v>
                </c:pt>
                <c:pt idx="8">
                  <c:v>0.33</c:v>
                </c:pt>
                <c:pt idx="9">
                  <c:v>0.5</c:v>
                </c:pt>
                <c:pt idx="10">
                  <c:v>0.66700000000000004</c:v>
                </c:pt>
                <c:pt idx="11">
                  <c:v>0.83299999999999996</c:v>
                </c:pt>
              </c:numCache>
            </c:numRef>
          </c:xVal>
          <c:yVal>
            <c:numRef>
              <c:f>MINITAB!$I$14:$I$25</c:f>
              <c:numCache>
                <c:formatCode>0.00</c:formatCode>
                <c:ptCount val="12"/>
                <c:pt idx="0">
                  <c:v>2.5999261174732173</c:v>
                </c:pt>
                <c:pt idx="1">
                  <c:v>4.5984088550674498</c:v>
                </c:pt>
                <c:pt idx="2">
                  <c:v>5.5051961112973506</c:v>
                </c:pt>
                <c:pt idx="3">
                  <c:v>6.3577235772357721</c:v>
                </c:pt>
                <c:pt idx="4">
                  <c:v>8.0100902002751866</c:v>
                </c:pt>
                <c:pt idx="5">
                  <c:v>9.3944130843826894</c:v>
                </c:pt>
                <c:pt idx="6">
                  <c:v>14.771405949553216</c:v>
                </c:pt>
                <c:pt idx="7">
                  <c:v>18.186046511627904</c:v>
                </c:pt>
                <c:pt idx="8">
                  <c:v>20.497220015885624</c:v>
                </c:pt>
                <c:pt idx="9">
                  <c:v>23.696969696969695</c:v>
                </c:pt>
                <c:pt idx="10">
                  <c:v>25.642495452534288</c:v>
                </c:pt>
                <c:pt idx="11">
                  <c:v>26.963284904176497</c:v>
                </c:pt>
              </c:numCache>
            </c:numRef>
          </c:yVal>
          <c:smooth val="0"/>
          <c:extLst xmlns:c16r2="http://schemas.microsoft.com/office/drawing/2015/06/chart">
            <c:ext xmlns:c16="http://schemas.microsoft.com/office/drawing/2014/chart" uri="{C3380CC4-5D6E-409C-BE32-E72D297353CC}">
              <c16:uniqueId val="{00000002-95AF-40AF-8A56-D88CC24AB936}"/>
            </c:ext>
          </c:extLst>
        </c:ser>
        <c:ser>
          <c:idx val="4"/>
          <c:order val="3"/>
          <c:tx>
            <c:v>S550 (Langmuir)</c:v>
          </c:tx>
          <c:spPr>
            <a:ln w="6350">
              <a:solidFill>
                <a:schemeClr val="accent2"/>
              </a:solidFill>
            </a:ln>
          </c:spPr>
          <c:marker>
            <c:symbol val="none"/>
          </c:marker>
          <c:xVal>
            <c:numRef>
              <c:f>MINITAB!$G$14:$G$25</c:f>
              <c:numCache>
                <c:formatCode>General</c:formatCode>
                <c:ptCount val="12"/>
                <c:pt idx="0">
                  <c:v>1.7999999999999999E-2</c:v>
                </c:pt>
                <c:pt idx="1">
                  <c:v>3.4000000000000002E-2</c:v>
                </c:pt>
                <c:pt idx="2">
                  <c:v>4.2000000000000003E-2</c:v>
                </c:pt>
                <c:pt idx="3">
                  <c:v>0.05</c:v>
                </c:pt>
                <c:pt idx="4">
                  <c:v>6.7000000000000004E-2</c:v>
                </c:pt>
                <c:pt idx="5">
                  <c:v>8.3000000000000004E-2</c:v>
                </c:pt>
                <c:pt idx="6">
                  <c:v>0.16700000000000001</c:v>
                </c:pt>
                <c:pt idx="7">
                  <c:v>0.25</c:v>
                </c:pt>
                <c:pt idx="8">
                  <c:v>0.33</c:v>
                </c:pt>
                <c:pt idx="9">
                  <c:v>0.5</c:v>
                </c:pt>
                <c:pt idx="10">
                  <c:v>0.66700000000000004</c:v>
                </c:pt>
                <c:pt idx="11">
                  <c:v>0.83299999999999996</c:v>
                </c:pt>
              </c:numCache>
            </c:numRef>
          </c:xVal>
          <c:yVal>
            <c:numRef>
              <c:f>MINITAB!$I$14:$I$25</c:f>
              <c:numCache>
                <c:formatCode>0.00</c:formatCode>
                <c:ptCount val="12"/>
                <c:pt idx="0">
                  <c:v>2.5999261174732173</c:v>
                </c:pt>
                <c:pt idx="1">
                  <c:v>4.5984088550674498</c:v>
                </c:pt>
                <c:pt idx="2">
                  <c:v>5.5051961112973506</c:v>
                </c:pt>
                <c:pt idx="3">
                  <c:v>6.3577235772357721</c:v>
                </c:pt>
                <c:pt idx="4">
                  <c:v>8.0100902002751866</c:v>
                </c:pt>
                <c:pt idx="5">
                  <c:v>9.3944130843826894</c:v>
                </c:pt>
                <c:pt idx="6">
                  <c:v>14.771405949553216</c:v>
                </c:pt>
                <c:pt idx="7">
                  <c:v>18.186046511627904</c:v>
                </c:pt>
                <c:pt idx="8">
                  <c:v>20.497220015885624</c:v>
                </c:pt>
                <c:pt idx="9">
                  <c:v>23.696969696969695</c:v>
                </c:pt>
                <c:pt idx="10">
                  <c:v>25.642495452534288</c:v>
                </c:pt>
                <c:pt idx="11">
                  <c:v>26.963284904176497</c:v>
                </c:pt>
              </c:numCache>
            </c:numRef>
          </c:yVal>
          <c:smooth val="0"/>
          <c:extLst xmlns:c16r2="http://schemas.microsoft.com/office/drawing/2015/06/chart">
            <c:ext xmlns:c16="http://schemas.microsoft.com/office/drawing/2014/chart" uri="{C3380CC4-5D6E-409C-BE32-E72D297353CC}">
              <c16:uniqueId val="{00000003-95AF-40AF-8A56-D88CC24AB936}"/>
            </c:ext>
          </c:extLst>
        </c:ser>
        <c:ser>
          <c:idx val="0"/>
          <c:order val="4"/>
          <c:tx>
            <c:strRef>
              <c:f>MINITAB!$C$13</c:f>
              <c:strCache>
                <c:ptCount val="1"/>
                <c:pt idx="0">
                  <c:v>SP350 </c:v>
                </c:pt>
              </c:strCache>
            </c:strRef>
          </c:tx>
          <c:spPr>
            <a:ln w="25400">
              <a:noFill/>
            </a:ln>
          </c:spPr>
          <c:marker>
            <c:symbol val="diamond"/>
            <c:size val="3"/>
            <c:spPr>
              <a:solidFill>
                <a:schemeClr val="accent1"/>
              </a:solidFill>
            </c:spPr>
          </c:marker>
          <c:xVal>
            <c:numRef>
              <c:f>MINITAB!$B$14:$B$25</c:f>
              <c:numCache>
                <c:formatCode>General</c:formatCode>
                <c:ptCount val="12"/>
                <c:pt idx="0">
                  <c:v>1.7999999999999999E-2</c:v>
                </c:pt>
                <c:pt idx="1">
                  <c:v>3.4000000000000002E-2</c:v>
                </c:pt>
                <c:pt idx="2">
                  <c:v>4.2000000000000003E-2</c:v>
                </c:pt>
                <c:pt idx="3">
                  <c:v>0.05</c:v>
                </c:pt>
                <c:pt idx="4">
                  <c:v>6.7000000000000004E-2</c:v>
                </c:pt>
                <c:pt idx="5">
                  <c:v>8.3000000000000004E-2</c:v>
                </c:pt>
                <c:pt idx="6">
                  <c:v>0.16700000000000001</c:v>
                </c:pt>
                <c:pt idx="7">
                  <c:v>0.25</c:v>
                </c:pt>
                <c:pt idx="8">
                  <c:v>0.33</c:v>
                </c:pt>
                <c:pt idx="9">
                  <c:v>0.5</c:v>
                </c:pt>
                <c:pt idx="10">
                  <c:v>0.66700000000000004</c:v>
                </c:pt>
                <c:pt idx="11">
                  <c:v>0.83299999999999996</c:v>
                </c:pt>
              </c:numCache>
            </c:numRef>
          </c:xVal>
          <c:yVal>
            <c:numRef>
              <c:f>MINITAB!$C$14:$C$25</c:f>
              <c:numCache>
                <c:formatCode>General</c:formatCode>
                <c:ptCount val="12"/>
                <c:pt idx="0">
                  <c:v>0.74669999999997572</c:v>
                </c:pt>
                <c:pt idx="1">
                  <c:v>1.2426000000000672</c:v>
                </c:pt>
                <c:pt idx="2">
                  <c:v>1.4382000000000517</c:v>
                </c:pt>
                <c:pt idx="3">
                  <c:v>1.6872000000000753</c:v>
                </c:pt>
                <c:pt idx="4">
                  <c:v>1.7851000000000286</c:v>
                </c:pt>
                <c:pt idx="5">
                  <c:v>2.5112000000000023</c:v>
                </c:pt>
                <c:pt idx="6">
                  <c:v>3.5369000000000024</c:v>
                </c:pt>
                <c:pt idx="7">
                  <c:v>4.7901000000000238</c:v>
                </c:pt>
                <c:pt idx="8">
                  <c:v>5.4395999999999844</c:v>
                </c:pt>
                <c:pt idx="9">
                  <c:v>7.4040999999999721</c:v>
                </c:pt>
                <c:pt idx="10">
                  <c:v>7.9453000000000893</c:v>
                </c:pt>
                <c:pt idx="11">
                  <c:v>9.4812000000000296</c:v>
                </c:pt>
              </c:numCache>
            </c:numRef>
          </c:yVal>
          <c:smooth val="0"/>
          <c:extLst xmlns:c16r2="http://schemas.microsoft.com/office/drawing/2015/06/chart">
            <c:ext xmlns:c16="http://schemas.microsoft.com/office/drawing/2014/chart" uri="{C3380CC4-5D6E-409C-BE32-E72D297353CC}">
              <c16:uniqueId val="{00000004-95AF-40AF-8A56-D88CC24AB936}"/>
            </c:ext>
          </c:extLst>
        </c:ser>
        <c:ser>
          <c:idx val="3"/>
          <c:order val="5"/>
          <c:tx>
            <c:v>S350 (Langmuir)</c:v>
          </c:tx>
          <c:spPr>
            <a:ln w="6350">
              <a:solidFill>
                <a:schemeClr val="accent1"/>
              </a:solidFill>
            </a:ln>
          </c:spPr>
          <c:marker>
            <c:symbol val="none"/>
          </c:marker>
          <c:xVal>
            <c:numRef>
              <c:f>MINITAB!$G$14:$G$25</c:f>
              <c:numCache>
                <c:formatCode>General</c:formatCode>
                <c:ptCount val="12"/>
                <c:pt idx="0">
                  <c:v>1.7999999999999999E-2</c:v>
                </c:pt>
                <c:pt idx="1">
                  <c:v>3.4000000000000002E-2</c:v>
                </c:pt>
                <c:pt idx="2">
                  <c:v>4.2000000000000003E-2</c:v>
                </c:pt>
                <c:pt idx="3">
                  <c:v>0.05</c:v>
                </c:pt>
                <c:pt idx="4">
                  <c:v>6.7000000000000004E-2</c:v>
                </c:pt>
                <c:pt idx="5">
                  <c:v>8.3000000000000004E-2</c:v>
                </c:pt>
                <c:pt idx="6">
                  <c:v>0.16700000000000001</c:v>
                </c:pt>
                <c:pt idx="7">
                  <c:v>0.25</c:v>
                </c:pt>
                <c:pt idx="8">
                  <c:v>0.33</c:v>
                </c:pt>
                <c:pt idx="9">
                  <c:v>0.5</c:v>
                </c:pt>
                <c:pt idx="10">
                  <c:v>0.66700000000000004</c:v>
                </c:pt>
                <c:pt idx="11">
                  <c:v>0.83299999999999996</c:v>
                </c:pt>
              </c:numCache>
            </c:numRef>
          </c:xVal>
          <c:yVal>
            <c:numRef>
              <c:f>MINITAB!$H$14:$H$25</c:f>
              <c:numCache>
                <c:formatCode>0.00</c:formatCode>
                <c:ptCount val="12"/>
                <c:pt idx="0">
                  <c:v>0.50992484100982849</c:v>
                </c:pt>
                <c:pt idx="1">
                  <c:v>0.93298487959678944</c:v>
                </c:pt>
                <c:pt idx="2">
                  <c:v>1.1347178827421431</c:v>
                </c:pt>
                <c:pt idx="3">
                  <c:v>1.3303167420814481</c:v>
                </c:pt>
                <c:pt idx="4">
                  <c:v>1.7268343999298676</c:v>
                </c:pt>
                <c:pt idx="5">
                  <c:v>2.0780039172272846</c:v>
                </c:pt>
                <c:pt idx="6">
                  <c:v>3.6350040719626864</c:v>
                </c:pt>
                <c:pt idx="7">
                  <c:v>4.8196721311475414</c:v>
                </c:pt>
                <c:pt idx="8">
                  <c:v>5.7306556408741889</c:v>
                </c:pt>
                <c:pt idx="9">
                  <c:v>7.1707317073170742</c:v>
                </c:pt>
                <c:pt idx="10">
                  <c:v>8.1683675594618244</c:v>
                </c:pt>
                <c:pt idx="11">
                  <c:v>8.9077947113810794</c:v>
                </c:pt>
              </c:numCache>
            </c:numRef>
          </c:yVal>
          <c:smooth val="0"/>
          <c:extLst xmlns:c16r2="http://schemas.microsoft.com/office/drawing/2015/06/chart">
            <c:ext xmlns:c16="http://schemas.microsoft.com/office/drawing/2014/chart" uri="{C3380CC4-5D6E-409C-BE32-E72D297353CC}">
              <c16:uniqueId val="{00000005-95AF-40AF-8A56-D88CC24AB936}"/>
            </c:ext>
          </c:extLst>
        </c:ser>
        <c:dLbls>
          <c:showLegendKey val="0"/>
          <c:showVal val="0"/>
          <c:showCatName val="0"/>
          <c:showSerName val="0"/>
          <c:showPercent val="0"/>
          <c:showBubbleSize val="0"/>
        </c:dLbls>
        <c:axId val="466136448"/>
        <c:axId val="466146816"/>
      </c:scatterChart>
      <c:scatterChart>
        <c:scatterStyle val="smoothMarker"/>
        <c:varyColors val="0"/>
        <c:ser>
          <c:idx val="6"/>
          <c:order val="6"/>
          <c:tx>
            <c:v>S750 Freundlich</c:v>
          </c:tx>
          <c:spPr>
            <a:ln w="9525">
              <a:solidFill>
                <a:schemeClr val="bg1">
                  <a:lumMod val="65000"/>
                </a:schemeClr>
              </a:solidFill>
              <a:prstDash val="sysDot"/>
            </a:ln>
          </c:spPr>
          <c:marker>
            <c:symbol val="none"/>
          </c:marker>
          <c:xVal>
            <c:numRef>
              <c:f>MINITAB!$G$30:$G$41</c:f>
              <c:numCache>
                <c:formatCode>General</c:formatCode>
                <c:ptCount val="12"/>
                <c:pt idx="0">
                  <c:v>1.7999999999999999E-2</c:v>
                </c:pt>
                <c:pt idx="1">
                  <c:v>3.4000000000000002E-2</c:v>
                </c:pt>
                <c:pt idx="2">
                  <c:v>4.2000000000000003E-2</c:v>
                </c:pt>
                <c:pt idx="3">
                  <c:v>0.05</c:v>
                </c:pt>
                <c:pt idx="4">
                  <c:v>6.7000000000000004E-2</c:v>
                </c:pt>
                <c:pt idx="5">
                  <c:v>8.3000000000000004E-2</c:v>
                </c:pt>
                <c:pt idx="6">
                  <c:v>0.16700000000000001</c:v>
                </c:pt>
                <c:pt idx="7">
                  <c:v>0.25</c:v>
                </c:pt>
                <c:pt idx="8">
                  <c:v>0.33</c:v>
                </c:pt>
                <c:pt idx="9">
                  <c:v>0.5</c:v>
                </c:pt>
                <c:pt idx="10">
                  <c:v>0.66700000000000004</c:v>
                </c:pt>
                <c:pt idx="11">
                  <c:v>0.83299999999999996</c:v>
                </c:pt>
              </c:numCache>
            </c:numRef>
          </c:xVal>
          <c:yVal>
            <c:numRef>
              <c:f>MINITAB!$J$30:$J$41</c:f>
              <c:numCache>
                <c:formatCode>0.00</c:formatCode>
                <c:ptCount val="12"/>
                <c:pt idx="0">
                  <c:v>6.3566363608776211</c:v>
                </c:pt>
                <c:pt idx="1">
                  <c:v>8.57125432089612</c:v>
                </c:pt>
                <c:pt idx="2">
                  <c:v>9.4662170225680011</c:v>
                </c:pt>
                <c:pt idx="3">
                  <c:v>10.274606365413135</c:v>
                </c:pt>
                <c:pt idx="4">
                  <c:v>11.789745972169037</c:v>
                </c:pt>
                <c:pt idx="5">
                  <c:v>13.038150620067936</c:v>
                </c:pt>
                <c:pt idx="6">
                  <c:v>18.11031615088249</c:v>
                </c:pt>
                <c:pt idx="7">
                  <c:v>21.891780977663551</c:v>
                </c:pt>
                <c:pt idx="8">
                  <c:v>24.943123793602549</c:v>
                </c:pt>
                <c:pt idx="9">
                  <c:v>30.322513105972419</c:v>
                </c:pt>
                <c:pt idx="10">
                  <c:v>34.72069680093454</c:v>
                </c:pt>
                <c:pt idx="11">
                  <c:v>38.543614681707808</c:v>
                </c:pt>
              </c:numCache>
            </c:numRef>
          </c:yVal>
          <c:smooth val="1"/>
          <c:extLst xmlns:c16r2="http://schemas.microsoft.com/office/drawing/2015/06/chart">
            <c:ext xmlns:c16="http://schemas.microsoft.com/office/drawing/2014/chart" uri="{C3380CC4-5D6E-409C-BE32-E72D297353CC}">
              <c16:uniqueId val="{00000006-95AF-40AF-8A56-D88CC24AB936}"/>
            </c:ext>
          </c:extLst>
        </c:ser>
        <c:ser>
          <c:idx val="7"/>
          <c:order val="7"/>
          <c:tx>
            <c:v>S550 (Freundlich)</c:v>
          </c:tx>
          <c:spPr>
            <a:ln w="9525">
              <a:prstDash val="sysDot"/>
            </a:ln>
          </c:spPr>
          <c:marker>
            <c:symbol val="none"/>
          </c:marker>
          <c:xVal>
            <c:numRef>
              <c:f>MINITAB!$G$30:$G$41</c:f>
              <c:numCache>
                <c:formatCode>General</c:formatCode>
                <c:ptCount val="12"/>
                <c:pt idx="0">
                  <c:v>1.7999999999999999E-2</c:v>
                </c:pt>
                <c:pt idx="1">
                  <c:v>3.4000000000000002E-2</c:v>
                </c:pt>
                <c:pt idx="2">
                  <c:v>4.2000000000000003E-2</c:v>
                </c:pt>
                <c:pt idx="3">
                  <c:v>0.05</c:v>
                </c:pt>
                <c:pt idx="4">
                  <c:v>6.7000000000000004E-2</c:v>
                </c:pt>
                <c:pt idx="5">
                  <c:v>8.3000000000000004E-2</c:v>
                </c:pt>
                <c:pt idx="6">
                  <c:v>0.16700000000000001</c:v>
                </c:pt>
                <c:pt idx="7">
                  <c:v>0.25</c:v>
                </c:pt>
                <c:pt idx="8">
                  <c:v>0.33</c:v>
                </c:pt>
                <c:pt idx="9">
                  <c:v>0.5</c:v>
                </c:pt>
                <c:pt idx="10">
                  <c:v>0.66700000000000004</c:v>
                </c:pt>
                <c:pt idx="11">
                  <c:v>0.83299999999999996</c:v>
                </c:pt>
              </c:numCache>
            </c:numRef>
          </c:xVal>
          <c:yVal>
            <c:numRef>
              <c:f>MINITAB!$I$30:$I$41</c:f>
              <c:numCache>
                <c:formatCode>0.00</c:formatCode>
                <c:ptCount val="12"/>
                <c:pt idx="0">
                  <c:v>4.6960566227443188</c:v>
                </c:pt>
                <c:pt idx="1">
                  <c:v>6.3725375396465651</c:v>
                </c:pt>
                <c:pt idx="2">
                  <c:v>7.0528099585384343</c:v>
                </c:pt>
                <c:pt idx="3">
                  <c:v>7.6684594323159478</c:v>
                </c:pt>
                <c:pt idx="4">
                  <c:v>8.8250754611810596</c:v>
                </c:pt>
                <c:pt idx="5">
                  <c:v>9.7804763368451031</c:v>
                </c:pt>
                <c:pt idx="6">
                  <c:v>13.680640431643512</c:v>
                </c:pt>
                <c:pt idx="7">
                  <c:v>16.604038300495475</c:v>
                </c:pt>
                <c:pt idx="8">
                  <c:v>18.970955856200565</c:v>
                </c:pt>
                <c:pt idx="9">
                  <c:v>23.158377255455612</c:v>
                </c:pt>
                <c:pt idx="10">
                  <c:v>26.593954575416991</c:v>
                </c:pt>
                <c:pt idx="11">
                  <c:v>29.587762433920538</c:v>
                </c:pt>
              </c:numCache>
            </c:numRef>
          </c:yVal>
          <c:smooth val="1"/>
          <c:extLst xmlns:c16r2="http://schemas.microsoft.com/office/drawing/2015/06/chart">
            <c:ext xmlns:c16="http://schemas.microsoft.com/office/drawing/2014/chart" uri="{C3380CC4-5D6E-409C-BE32-E72D297353CC}">
              <c16:uniqueId val="{00000007-95AF-40AF-8A56-D88CC24AB936}"/>
            </c:ext>
          </c:extLst>
        </c:ser>
        <c:ser>
          <c:idx val="8"/>
          <c:order val="8"/>
          <c:tx>
            <c:v>S350 (Freundlich)</c:v>
          </c:tx>
          <c:spPr>
            <a:ln w="9525">
              <a:solidFill>
                <a:schemeClr val="accent1"/>
              </a:solidFill>
              <a:prstDash val="sysDot"/>
            </a:ln>
          </c:spPr>
          <c:marker>
            <c:symbol val="none"/>
          </c:marker>
          <c:xVal>
            <c:numRef>
              <c:f>MINITAB!$G$30:$G$41</c:f>
              <c:numCache>
                <c:formatCode>General</c:formatCode>
                <c:ptCount val="12"/>
                <c:pt idx="0">
                  <c:v>1.7999999999999999E-2</c:v>
                </c:pt>
                <c:pt idx="1">
                  <c:v>3.4000000000000002E-2</c:v>
                </c:pt>
                <c:pt idx="2">
                  <c:v>4.2000000000000003E-2</c:v>
                </c:pt>
                <c:pt idx="3">
                  <c:v>0.05</c:v>
                </c:pt>
                <c:pt idx="4">
                  <c:v>6.7000000000000004E-2</c:v>
                </c:pt>
                <c:pt idx="5">
                  <c:v>8.3000000000000004E-2</c:v>
                </c:pt>
                <c:pt idx="6">
                  <c:v>0.16700000000000001</c:v>
                </c:pt>
                <c:pt idx="7">
                  <c:v>0.25</c:v>
                </c:pt>
                <c:pt idx="8">
                  <c:v>0.33</c:v>
                </c:pt>
                <c:pt idx="9">
                  <c:v>0.5</c:v>
                </c:pt>
                <c:pt idx="10">
                  <c:v>0.66700000000000004</c:v>
                </c:pt>
                <c:pt idx="11">
                  <c:v>0.83299999999999996</c:v>
                </c:pt>
              </c:numCache>
            </c:numRef>
          </c:xVal>
          <c:yVal>
            <c:numRef>
              <c:f>MINITAB!$H$30:$H$41</c:f>
              <c:numCache>
                <c:formatCode>0.00</c:formatCode>
                <c:ptCount val="12"/>
                <c:pt idx="0">
                  <c:v>0.9141597453143806</c:v>
                </c:pt>
                <c:pt idx="1">
                  <c:v>1.3474355602555514</c:v>
                </c:pt>
                <c:pt idx="2">
                  <c:v>1.5328086141414949</c:v>
                </c:pt>
                <c:pt idx="3">
                  <c:v>1.7048162168981693</c:v>
                </c:pt>
                <c:pt idx="4">
                  <c:v>2.0380343282936004</c:v>
                </c:pt>
                <c:pt idx="5">
                  <c:v>2.3224346457439591</c:v>
                </c:pt>
                <c:pt idx="6">
                  <c:v>3.5576474811094192</c:v>
                </c:pt>
                <c:pt idx="7">
                  <c:v>4.5503968131200949</c:v>
                </c:pt>
                <c:pt idx="8">
                  <c:v>5.390131599744362</c:v>
                </c:pt>
                <c:pt idx="9">
                  <c:v>6.9450850404493254</c:v>
                </c:pt>
                <c:pt idx="10">
                  <c:v>8.2798529530620595</c:v>
                </c:pt>
                <c:pt idx="11">
                  <c:v>9.4819861390401474</c:v>
                </c:pt>
              </c:numCache>
            </c:numRef>
          </c:yVal>
          <c:smooth val="1"/>
          <c:extLst xmlns:c16r2="http://schemas.microsoft.com/office/drawing/2015/06/chart">
            <c:ext xmlns:c16="http://schemas.microsoft.com/office/drawing/2014/chart" uri="{C3380CC4-5D6E-409C-BE32-E72D297353CC}">
              <c16:uniqueId val="{00000008-95AF-40AF-8A56-D88CC24AB936}"/>
            </c:ext>
          </c:extLst>
        </c:ser>
        <c:dLbls>
          <c:showLegendKey val="0"/>
          <c:showVal val="0"/>
          <c:showCatName val="0"/>
          <c:showSerName val="0"/>
          <c:showPercent val="0"/>
          <c:showBubbleSize val="0"/>
        </c:dLbls>
        <c:axId val="466136448"/>
        <c:axId val="466146816"/>
      </c:scatterChart>
      <c:valAx>
        <c:axId val="466136448"/>
        <c:scaling>
          <c:orientation val="minMax"/>
          <c:max val="1"/>
          <c:min val="0"/>
        </c:scaling>
        <c:delete val="0"/>
        <c:axPos val="b"/>
        <c:title>
          <c:tx>
            <c:rich>
              <a:bodyPr/>
              <a:lstStyle/>
              <a:p>
                <a:pPr>
                  <a:defRPr sz="1000"/>
                </a:pPr>
                <a:r>
                  <a:rPr lang="es-ES" sz="1000" baseline="0"/>
                  <a:t>P</a:t>
                </a:r>
                <a:r>
                  <a:rPr lang="es-ES" sz="1000" baseline="-25000"/>
                  <a:t>CO2 </a:t>
                </a:r>
                <a:r>
                  <a:rPr lang="es-ES" sz="1000" baseline="0"/>
                  <a:t>(atm) </a:t>
                </a:r>
                <a:r>
                  <a:rPr lang="es-ES" sz="1000"/>
                  <a:t> </a:t>
                </a:r>
              </a:p>
            </c:rich>
          </c:tx>
          <c:layout>
            <c:manualLayout>
              <c:xMode val="edge"/>
              <c:yMode val="edge"/>
              <c:x val="0.44828721409823774"/>
              <c:y val="0.91739460038611986"/>
            </c:manualLayout>
          </c:layout>
          <c:overlay val="0"/>
        </c:title>
        <c:numFmt formatCode="General" sourceLinked="1"/>
        <c:majorTickMark val="out"/>
        <c:minorTickMark val="none"/>
        <c:tickLblPos val="nextTo"/>
        <c:txPr>
          <a:bodyPr/>
          <a:lstStyle/>
          <a:p>
            <a:pPr>
              <a:defRPr sz="1000"/>
            </a:pPr>
            <a:endParaRPr lang="es-ES"/>
          </a:p>
        </c:txPr>
        <c:crossAx val="466146816"/>
        <c:crosses val="autoZero"/>
        <c:crossBetween val="midCat"/>
        <c:majorUnit val="0.2"/>
      </c:valAx>
      <c:valAx>
        <c:axId val="466146816"/>
        <c:scaling>
          <c:orientation val="minMax"/>
          <c:max val="45"/>
        </c:scaling>
        <c:delete val="0"/>
        <c:axPos val="l"/>
        <c:majorGridlines>
          <c:spPr>
            <a:ln>
              <a:solidFill>
                <a:schemeClr val="bg1">
                  <a:lumMod val="75000"/>
                </a:schemeClr>
              </a:solidFill>
              <a:prstDash val="sysDot"/>
            </a:ln>
          </c:spPr>
        </c:majorGridlines>
        <c:title>
          <c:tx>
            <c:rich>
              <a:bodyPr/>
              <a:lstStyle/>
              <a:p>
                <a:pPr>
                  <a:defRPr sz="1000"/>
                </a:pPr>
                <a:r>
                  <a:rPr lang="es-ES" sz="1000"/>
                  <a:t>mg CO</a:t>
                </a:r>
                <a:r>
                  <a:rPr lang="es-ES" sz="1000" baseline="-25000"/>
                  <a:t>2</a:t>
                </a:r>
                <a:r>
                  <a:rPr lang="es-ES" sz="1000"/>
                  <a:t> adsorbed/g char</a:t>
                </a:r>
              </a:p>
            </c:rich>
          </c:tx>
          <c:layout>
            <c:manualLayout>
              <c:xMode val="edge"/>
              <c:yMode val="edge"/>
              <c:x val="5.6148271568443034E-3"/>
              <c:y val="0.21711246170274343"/>
            </c:manualLayout>
          </c:layout>
          <c:overlay val="0"/>
        </c:title>
        <c:numFmt formatCode="General" sourceLinked="1"/>
        <c:majorTickMark val="out"/>
        <c:minorTickMark val="none"/>
        <c:tickLblPos val="nextTo"/>
        <c:txPr>
          <a:bodyPr/>
          <a:lstStyle/>
          <a:p>
            <a:pPr>
              <a:defRPr sz="1000"/>
            </a:pPr>
            <a:endParaRPr lang="es-ES"/>
          </a:p>
        </c:txPr>
        <c:crossAx val="466136448"/>
        <c:crosses val="autoZero"/>
        <c:crossBetween val="midCat"/>
      </c:valAx>
    </c:plotArea>
    <c:legend>
      <c:legendPos val="r"/>
      <c:legendEntry>
        <c:idx val="1"/>
        <c:delete val="1"/>
      </c:legendEntry>
      <c:legendEntry>
        <c:idx val="3"/>
        <c:delete val="1"/>
      </c:legendEntry>
      <c:legendEntry>
        <c:idx val="5"/>
        <c:delete val="1"/>
      </c:legendEntry>
      <c:legendEntry>
        <c:idx val="6"/>
        <c:delete val="1"/>
      </c:legendEntry>
      <c:legendEntry>
        <c:idx val="7"/>
        <c:delete val="1"/>
      </c:legendEntry>
      <c:legendEntry>
        <c:idx val="8"/>
        <c:delete val="1"/>
      </c:legendEntry>
      <c:layout>
        <c:manualLayout>
          <c:xMode val="edge"/>
          <c:yMode val="edge"/>
          <c:x val="9.5238095238095247E-3"/>
          <c:y val="3.8450264320297575E-3"/>
          <c:w val="0.98402437195350601"/>
          <c:h val="0.2285053521069815"/>
        </c:manualLayout>
      </c:layout>
      <c:overlay val="0"/>
      <c:txPr>
        <a:bodyPr/>
        <a:lstStyle/>
        <a:p>
          <a:pPr>
            <a:defRPr sz="900"/>
          </a:pPr>
          <a:endParaRPr lang="es-ES"/>
        </a:p>
      </c:txPr>
    </c:legend>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089129483814524"/>
          <c:y val="0.16251166520851559"/>
          <c:w val="0.85649803149606307"/>
          <c:h val="0.6742629046369204"/>
        </c:manualLayout>
      </c:layout>
      <c:barChart>
        <c:barDir val="col"/>
        <c:grouping val="clustered"/>
        <c:varyColors val="0"/>
        <c:ser>
          <c:idx val="0"/>
          <c:order val="0"/>
          <c:tx>
            <c:v>Soybean protein</c:v>
          </c:tx>
          <c:spPr>
            <a:solidFill>
              <a:schemeClr val="bg1">
                <a:lumMod val="75000"/>
              </a:schemeClr>
            </a:solidFill>
            <a:ln>
              <a:solidFill>
                <a:schemeClr val="bg1">
                  <a:lumMod val="50000"/>
                </a:schemeClr>
              </a:solidFill>
            </a:ln>
          </c:spPr>
          <c:invertIfNegative val="0"/>
          <c:cat>
            <c:numRef>
              <c:f>Hoja1!$D$3:$F$3</c:f>
              <c:numCache>
                <c:formatCode>General</c:formatCode>
                <c:ptCount val="3"/>
                <c:pt idx="0">
                  <c:v>350</c:v>
                </c:pt>
                <c:pt idx="1">
                  <c:v>550</c:v>
                </c:pt>
                <c:pt idx="2">
                  <c:v>750</c:v>
                </c:pt>
              </c:numCache>
            </c:numRef>
          </c:cat>
          <c:val>
            <c:numRef>
              <c:f>Hoja1!$D$7:$F$7</c:f>
              <c:numCache>
                <c:formatCode>General</c:formatCode>
                <c:ptCount val="3"/>
                <c:pt idx="0">
                  <c:v>9.4812000000000296</c:v>
                </c:pt>
                <c:pt idx="1">
                  <c:v>29.029699999999966</c:v>
                </c:pt>
                <c:pt idx="2">
                  <c:v>38.037699999999994</c:v>
                </c:pt>
              </c:numCache>
            </c:numRef>
          </c:val>
        </c:ser>
        <c:ser>
          <c:idx val="1"/>
          <c:order val="1"/>
          <c:tx>
            <c:v>Digested manure</c:v>
          </c:tx>
          <c:spPr>
            <a:pattFill prst="narHorz">
              <a:fgClr>
                <a:schemeClr val="bg1">
                  <a:lumMod val="75000"/>
                </a:schemeClr>
              </a:fgClr>
              <a:bgClr>
                <a:schemeClr val="bg1"/>
              </a:bgClr>
            </a:pattFill>
            <a:ln>
              <a:solidFill>
                <a:schemeClr val="bg1">
                  <a:lumMod val="50000"/>
                </a:schemeClr>
              </a:solidFill>
            </a:ln>
          </c:spPr>
          <c:invertIfNegative val="0"/>
          <c:cat>
            <c:numRef>
              <c:f>Hoja1!$D$3:$F$3</c:f>
              <c:numCache>
                <c:formatCode>General</c:formatCode>
                <c:ptCount val="3"/>
                <c:pt idx="0">
                  <c:v>350</c:v>
                </c:pt>
                <c:pt idx="1">
                  <c:v>550</c:v>
                </c:pt>
                <c:pt idx="2">
                  <c:v>750</c:v>
                </c:pt>
              </c:numCache>
            </c:numRef>
          </c:cat>
          <c:val>
            <c:numRef>
              <c:f>Hoja1!$D$14:$F$14</c:f>
              <c:numCache>
                <c:formatCode>General</c:formatCode>
                <c:ptCount val="3"/>
                <c:pt idx="0">
                  <c:v>8.5309999999999775</c:v>
                </c:pt>
                <c:pt idx="1">
                  <c:v>17.803600000000017</c:v>
                </c:pt>
                <c:pt idx="2">
                  <c:v>19.476300000000034</c:v>
                </c:pt>
              </c:numCache>
            </c:numRef>
          </c:val>
        </c:ser>
        <c:ser>
          <c:idx val="2"/>
          <c:order val="2"/>
          <c:tx>
            <c:v>Collagene</c:v>
          </c:tx>
          <c:spPr>
            <a:solidFill>
              <a:schemeClr val="accent2">
                <a:lumMod val="60000"/>
                <a:lumOff val="40000"/>
              </a:schemeClr>
            </a:solidFill>
            <a:ln>
              <a:solidFill>
                <a:schemeClr val="accent2">
                  <a:lumMod val="75000"/>
                </a:schemeClr>
              </a:solidFill>
            </a:ln>
          </c:spPr>
          <c:invertIfNegative val="0"/>
          <c:cat>
            <c:numRef>
              <c:f>Hoja1!$D$3:$F$3</c:f>
              <c:numCache>
                <c:formatCode>General</c:formatCode>
                <c:ptCount val="3"/>
                <c:pt idx="0">
                  <c:v>350</c:v>
                </c:pt>
                <c:pt idx="1">
                  <c:v>550</c:v>
                </c:pt>
                <c:pt idx="2">
                  <c:v>750</c:v>
                </c:pt>
              </c:numCache>
            </c:numRef>
          </c:cat>
          <c:val>
            <c:numRef>
              <c:f>Hoja1!$D$27:$F$27</c:f>
              <c:numCache>
                <c:formatCode>General</c:formatCode>
                <c:ptCount val="3"/>
                <c:pt idx="0">
                  <c:v>11.033800000000014</c:v>
                </c:pt>
                <c:pt idx="1">
                  <c:v>32.807999999999993</c:v>
                </c:pt>
                <c:pt idx="2">
                  <c:v>41.034599999999983</c:v>
                </c:pt>
              </c:numCache>
            </c:numRef>
          </c:val>
        </c:ser>
        <c:ser>
          <c:idx val="3"/>
          <c:order val="3"/>
          <c:tx>
            <c:v>Meat and bone meal</c:v>
          </c:tx>
          <c:spPr>
            <a:pattFill prst="narHorz">
              <a:fgClr>
                <a:schemeClr val="accent2">
                  <a:lumMod val="60000"/>
                  <a:lumOff val="40000"/>
                </a:schemeClr>
              </a:fgClr>
              <a:bgClr>
                <a:schemeClr val="bg1"/>
              </a:bgClr>
            </a:pattFill>
            <a:ln>
              <a:solidFill>
                <a:schemeClr val="accent2">
                  <a:lumMod val="75000"/>
                </a:schemeClr>
              </a:solidFill>
            </a:ln>
          </c:spPr>
          <c:invertIfNegative val="0"/>
          <c:cat>
            <c:numRef>
              <c:f>Hoja1!$D$3:$F$3</c:f>
              <c:numCache>
                <c:formatCode>General</c:formatCode>
                <c:ptCount val="3"/>
                <c:pt idx="0">
                  <c:v>350</c:v>
                </c:pt>
                <c:pt idx="1">
                  <c:v>550</c:v>
                </c:pt>
                <c:pt idx="2">
                  <c:v>750</c:v>
                </c:pt>
              </c:numCache>
            </c:numRef>
          </c:cat>
          <c:val>
            <c:numRef>
              <c:f>Hoja1!$D$21:$F$21</c:f>
              <c:numCache>
                <c:formatCode>General</c:formatCode>
                <c:ptCount val="3"/>
                <c:pt idx="0">
                  <c:v>5.8307999999999538</c:v>
                </c:pt>
                <c:pt idx="1">
                  <c:v>26.836699999999922</c:v>
                </c:pt>
                <c:pt idx="2">
                  <c:v>21.122100000000046</c:v>
                </c:pt>
              </c:numCache>
            </c:numRef>
          </c:val>
        </c:ser>
        <c:dLbls>
          <c:showLegendKey val="0"/>
          <c:showVal val="0"/>
          <c:showCatName val="0"/>
          <c:showSerName val="0"/>
          <c:showPercent val="0"/>
          <c:showBubbleSize val="0"/>
        </c:dLbls>
        <c:gapWidth val="150"/>
        <c:axId val="473340160"/>
        <c:axId val="473342336"/>
      </c:barChart>
      <c:catAx>
        <c:axId val="473340160"/>
        <c:scaling>
          <c:orientation val="minMax"/>
        </c:scaling>
        <c:delete val="0"/>
        <c:axPos val="b"/>
        <c:title>
          <c:tx>
            <c:rich>
              <a:bodyPr/>
              <a:lstStyle/>
              <a:p>
                <a:pPr>
                  <a:defRPr/>
                </a:pPr>
                <a:r>
                  <a:rPr lang="es-ES"/>
                  <a:t>Pyrolysis temperature (</a:t>
                </a:r>
                <a:r>
                  <a:rPr lang="es-ES">
                    <a:latin typeface="Arial" panose="020B0604020202020204" pitchFamily="34" charset="0"/>
                    <a:cs typeface="Arial" panose="020B0604020202020204" pitchFamily="34" charset="0"/>
                  </a:rPr>
                  <a:t>º</a:t>
                </a:r>
                <a:r>
                  <a:rPr lang="es-ES"/>
                  <a:t>C)</a:t>
                </a:r>
              </a:p>
            </c:rich>
          </c:tx>
          <c:overlay val="0"/>
        </c:title>
        <c:numFmt formatCode="General" sourceLinked="1"/>
        <c:majorTickMark val="none"/>
        <c:minorTickMark val="none"/>
        <c:tickLblPos val="nextTo"/>
        <c:crossAx val="473342336"/>
        <c:crosses val="autoZero"/>
        <c:auto val="1"/>
        <c:lblAlgn val="ctr"/>
        <c:lblOffset val="100"/>
        <c:noMultiLvlLbl val="0"/>
      </c:catAx>
      <c:valAx>
        <c:axId val="473342336"/>
        <c:scaling>
          <c:orientation val="minMax"/>
        </c:scaling>
        <c:delete val="0"/>
        <c:axPos val="l"/>
        <c:majorGridlines>
          <c:spPr>
            <a:ln>
              <a:solidFill>
                <a:schemeClr val="bg1">
                  <a:lumMod val="75000"/>
                </a:schemeClr>
              </a:solidFill>
              <a:prstDash val="sysDot"/>
            </a:ln>
          </c:spPr>
        </c:majorGridlines>
        <c:title>
          <c:tx>
            <c:rich>
              <a:bodyPr/>
              <a:lstStyle/>
              <a:p>
                <a:pPr>
                  <a:defRPr/>
                </a:pPr>
                <a:r>
                  <a:rPr lang="es-ES"/>
                  <a:t>mg CO</a:t>
                </a:r>
                <a:r>
                  <a:rPr lang="es-ES" baseline="-25000"/>
                  <a:t>2</a:t>
                </a:r>
                <a:r>
                  <a:rPr lang="es-ES"/>
                  <a:t> adsorbed/g char</a:t>
                </a:r>
              </a:p>
            </c:rich>
          </c:tx>
          <c:layout>
            <c:manualLayout>
              <c:xMode val="edge"/>
              <c:yMode val="edge"/>
              <c:x val="1.6666666666666666E-2"/>
              <c:y val="0.2756822526813778"/>
            </c:manualLayout>
          </c:layout>
          <c:overlay val="0"/>
        </c:title>
        <c:numFmt formatCode="General" sourceLinked="1"/>
        <c:majorTickMark val="out"/>
        <c:minorTickMark val="none"/>
        <c:tickLblPos val="nextTo"/>
        <c:crossAx val="473340160"/>
        <c:crosses val="autoZero"/>
        <c:crossBetween val="between"/>
      </c:valAx>
    </c:plotArea>
    <c:legend>
      <c:legendPos val="r"/>
      <c:layout>
        <c:manualLayout>
          <c:xMode val="edge"/>
          <c:yMode val="edge"/>
          <c:x val="0"/>
          <c:y val="3.8618320858040916E-3"/>
          <c:w val="0.99038845144356957"/>
          <c:h val="0.1080169145523476"/>
        </c:manualLayout>
      </c:layout>
      <c:overlay val="0"/>
    </c:legend>
    <c:plotVisOnly val="1"/>
    <c:dispBlanksAs val="gap"/>
    <c:showDLblsOverMax val="0"/>
  </c:chart>
  <c:spPr>
    <a:ln>
      <a:noFill/>
    </a:ln>
  </c:spPr>
  <c:txPr>
    <a:bodyPr/>
    <a:lstStyle/>
    <a:p>
      <a:pPr>
        <a:defRPr sz="1050">
          <a:latin typeface="+mn-lt"/>
          <a:cs typeface="Arial" panose="020B0604020202020204" pitchFamily="34" charset="0"/>
        </a:defRPr>
      </a:pPr>
      <a:endParaRPr lang="es-E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3532A3-9F11-4CFA-B22E-350D2ECB9A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Paper_model</Template>
  <TotalTime>1298</TotalTime>
  <Pages>11</Pages>
  <Words>10450</Words>
  <Characters>57475</Characters>
  <Application>Microsoft Office Word</Application>
  <DocSecurity>0</DocSecurity>
  <Lines>478</Lines>
  <Paragraphs>135</Paragraphs>
  <ScaleCrop>false</ScaleCrop>
  <HeadingPairs>
    <vt:vector size="6" baseType="variant">
      <vt:variant>
        <vt:lpstr>Título</vt:lpstr>
      </vt:variant>
      <vt:variant>
        <vt:i4>1</vt:i4>
      </vt:variant>
      <vt:variant>
        <vt:lpstr>Titolo</vt:lpstr>
      </vt:variant>
      <vt:variant>
        <vt:i4>1</vt:i4>
      </vt:variant>
      <vt:variant>
        <vt:lpstr>Title</vt:lpstr>
      </vt:variant>
      <vt:variant>
        <vt:i4>1</vt:i4>
      </vt:variant>
    </vt:vector>
  </HeadingPairs>
  <TitlesOfParts>
    <vt:vector size="3" baseType="lpstr">
      <vt:lpstr>MSW LEACHATE TREATMENT BY ELECTROCHEMICAL OXIDATION</vt:lpstr>
      <vt:lpstr>MSW LEACHATE TREATMENT BY ELECTROCHEMICAL OXIDATION</vt:lpstr>
      <vt:lpstr>MSW LEACHATE TREATMENT BY ELECTROCHEMICAL OXIDATION</vt:lpstr>
    </vt:vector>
  </TitlesOfParts>
  <Company>er</Company>
  <LinksUpToDate>false</LinksUpToDate>
  <CharactersWithSpaces>67790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MSW LEACHATE TREATMENT BY ELECTROCHEMICAL OXIDATION</dc:title>
  <dc:subject/>
  <dc:creator>iat</dc:creator>
  <cp:keywords/>
  <cp:lastModifiedBy>Noemi</cp:lastModifiedBy>
  <cp:revision>44</cp:revision>
  <cp:lastPrinted>2018-04-10T16:05:00Z</cp:lastPrinted>
  <dcterms:created xsi:type="dcterms:W3CDTF">2019-04-09T14:57:00Z</dcterms:created>
  <dcterms:modified xsi:type="dcterms:W3CDTF">2021-05-28T15:00:00Z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2f47cc2c-b0cb-3251-9c23-1f2c5765a841</vt:lpwstr>
  </property>
  <property fmtid="{D5CDD505-2E9C-101B-9397-08002B2CF9AE}" pid="24" name="Mendeley Citation Style_1">
    <vt:lpwstr>http://www.zotero.org/styles/apa</vt:lpwstr>
  </property>
</Properties>
</file>